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0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sz w:val="44"/>
          <w:szCs w:val="4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sz w:val="44"/>
          <w:szCs w:val="44"/>
        </w:rPr>
        <w:t>20</w:t>
      </w:r>
      <w:r>
        <w:rPr>
          <w:rFonts w:hint="eastAsia" w:ascii="宋体" w:hAnsi="宋体" w:eastAsia="宋体" w:cs="宋体"/>
          <w:b/>
          <w:sz w:val="44"/>
          <w:szCs w:val="44"/>
          <w:lang w:val="en-US" w:eastAsia="zh-CN"/>
        </w:rPr>
        <w:t>21</w:t>
      </w:r>
      <w:r>
        <w:rPr>
          <w:rFonts w:hint="eastAsia" w:ascii="宋体" w:hAnsi="宋体" w:eastAsia="宋体" w:cs="宋体"/>
          <w:b/>
          <w:sz w:val="44"/>
          <w:szCs w:val="44"/>
        </w:rPr>
        <w:t>年</w:t>
      </w:r>
      <w:r>
        <w:rPr>
          <w:rFonts w:hint="eastAsia" w:ascii="宋体" w:hAnsi="宋体" w:eastAsia="宋体" w:cs="宋体"/>
          <w:b/>
          <w:sz w:val="44"/>
          <w:szCs w:val="44"/>
          <w:lang w:eastAsia="zh-CN"/>
        </w:rPr>
        <w:t>孟州市市本级政府</w:t>
      </w:r>
      <w:r>
        <w:rPr>
          <w:rFonts w:hint="eastAsia" w:ascii="宋体" w:hAnsi="宋体" w:eastAsia="宋体" w:cs="宋体"/>
          <w:b/>
          <w:sz w:val="44"/>
          <w:szCs w:val="44"/>
        </w:rPr>
        <w:t>预算</w:t>
      </w:r>
      <w:r>
        <w:rPr>
          <w:rFonts w:hint="eastAsia" w:ascii="宋体" w:hAnsi="宋体" w:eastAsia="宋体" w:cs="宋体"/>
          <w:b/>
          <w:sz w:val="44"/>
          <w:szCs w:val="44"/>
          <w:lang w:eastAsia="zh-CN"/>
        </w:rPr>
        <w:t>公开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0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说</w:t>
      </w:r>
      <w:r>
        <w:rPr>
          <w:rFonts w:hint="eastAsia" w:ascii="宋体" w:hAnsi="宋体" w:eastAsia="宋体" w:cs="宋体"/>
          <w:b/>
          <w:sz w:val="44"/>
          <w:szCs w:val="4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/>
          <w:sz w:val="44"/>
          <w:szCs w:val="44"/>
        </w:rPr>
        <w:t>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0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 xml:space="preserve"> 孟州市市本级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一般公共预算收</w:t>
      </w: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支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 xml:space="preserve">    一、地方一般公共预算总收入安排情况</w:t>
      </w:r>
    </w:p>
    <w:p>
      <w:pPr>
        <w:tabs>
          <w:tab w:val="left" w:pos="280"/>
        </w:tabs>
        <w:spacing w:line="600" w:lineRule="exact"/>
        <w:ind w:firstLine="640" w:firstLineChars="200"/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（一）地方一般公共预算收入安排情况</w:t>
      </w:r>
    </w:p>
    <w:p>
      <w:pPr>
        <w:spacing w:line="60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一般公共预算收入安排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106676</w:t>
      </w:r>
      <w:r>
        <w:rPr>
          <w:rFonts w:hint="eastAsia" w:ascii="仿宋" w:hAnsi="仿宋" w:eastAsia="仿宋"/>
          <w:sz w:val="32"/>
          <w:szCs w:val="32"/>
        </w:rPr>
        <w:t>万元，较上年</w:t>
      </w:r>
      <w:r>
        <w:rPr>
          <w:rFonts w:hint="eastAsia" w:ascii="仿宋" w:hAnsi="仿宋" w:eastAsia="仿宋"/>
          <w:sz w:val="32"/>
          <w:szCs w:val="32"/>
          <w:lang w:eastAsia="zh-CN"/>
        </w:rPr>
        <w:t>决算（执行数）下降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3.2</w:t>
      </w:r>
      <w:r>
        <w:rPr>
          <w:rFonts w:hint="eastAsia" w:ascii="仿宋" w:hAnsi="仿宋" w:eastAsia="仿宋"/>
          <w:sz w:val="32"/>
          <w:szCs w:val="32"/>
        </w:rPr>
        <w:t>%；其中：税收收入安排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83260</w:t>
      </w:r>
      <w:r>
        <w:rPr>
          <w:rFonts w:hint="eastAsia" w:ascii="仿宋" w:hAnsi="仿宋" w:eastAsia="仿宋"/>
          <w:sz w:val="32"/>
          <w:szCs w:val="32"/>
        </w:rPr>
        <w:t>万元，较上年</w:t>
      </w:r>
      <w:r>
        <w:rPr>
          <w:rFonts w:hint="eastAsia" w:ascii="仿宋" w:hAnsi="仿宋" w:eastAsia="仿宋"/>
          <w:sz w:val="32"/>
          <w:szCs w:val="32"/>
          <w:lang w:eastAsia="zh-CN"/>
        </w:rPr>
        <w:t>决算（执行数）增</w:t>
      </w:r>
      <w:r>
        <w:rPr>
          <w:rFonts w:hint="eastAsia" w:ascii="仿宋" w:hAnsi="仿宋" w:eastAsia="仿宋"/>
          <w:sz w:val="32"/>
          <w:szCs w:val="32"/>
        </w:rPr>
        <w:t>长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12.6</w:t>
      </w:r>
      <w:r>
        <w:rPr>
          <w:rFonts w:hint="eastAsia" w:ascii="仿宋" w:hAnsi="仿宋" w:eastAsia="仿宋"/>
          <w:sz w:val="32"/>
          <w:szCs w:val="32"/>
        </w:rPr>
        <w:t>%</w:t>
      </w:r>
      <w:r>
        <w:rPr>
          <w:rFonts w:hint="eastAsia" w:ascii="仿宋" w:hAnsi="仿宋" w:eastAsia="仿宋"/>
          <w:sz w:val="32"/>
          <w:szCs w:val="32"/>
          <w:lang w:eastAsia="zh-CN"/>
        </w:rPr>
        <w:t>；非税收入安排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23416万元，较上年决算（执行数）下降35.5%。</w:t>
      </w:r>
      <w:r>
        <w:rPr>
          <w:rFonts w:hint="eastAsia" w:ascii="仿宋" w:hAnsi="仿宋" w:eastAsia="仿宋"/>
          <w:sz w:val="32"/>
          <w:szCs w:val="32"/>
          <w:lang w:eastAsia="zh-CN"/>
        </w:rPr>
        <w:t>主要税种安排情况：</w:t>
      </w:r>
    </w:p>
    <w:p>
      <w:pPr>
        <w:numPr>
          <w:ilvl w:val="0"/>
          <w:numId w:val="2"/>
        </w:numPr>
        <w:ind w:firstLine="643" w:firstLineChars="200"/>
        <w:rPr>
          <w:rFonts w:hint="eastAsia" w:ascii="仿宋" w:hAnsi="仿宋" w:eastAsia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增值税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12165</w:t>
      </w:r>
      <w:r>
        <w:rPr>
          <w:rFonts w:hint="eastAsia" w:ascii="仿宋" w:hAnsi="仿宋" w:eastAsia="仿宋"/>
          <w:color w:val="auto"/>
          <w:sz w:val="32"/>
          <w:szCs w:val="32"/>
        </w:rPr>
        <w:t>万元，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较上年决算（执行数）下降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10.1</w:t>
      </w:r>
      <w:r>
        <w:rPr>
          <w:rFonts w:hint="eastAsia" w:ascii="仿宋" w:hAnsi="仿宋" w:eastAsia="仿宋"/>
          <w:color w:val="auto"/>
          <w:sz w:val="32"/>
          <w:szCs w:val="32"/>
        </w:rPr>
        <w:t>%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。</w:t>
      </w:r>
    </w:p>
    <w:p>
      <w:pPr>
        <w:numPr>
          <w:ilvl w:val="0"/>
          <w:numId w:val="0"/>
        </w:numPr>
        <w:rPr>
          <w:rFonts w:hint="eastAsia" w:ascii="仿宋" w:hAnsi="仿宋" w:eastAsia="仿宋" w:cs="宋体"/>
          <w:b w:val="0"/>
          <w:bCs w:val="0"/>
          <w:color w:val="auto"/>
          <w:sz w:val="32"/>
          <w:szCs w:val="32"/>
          <w:lang w:val="en-US"/>
        </w:rPr>
      </w:pPr>
      <w:r>
        <w:rPr>
          <w:rFonts w:hint="eastAsia" w:ascii="仿宋" w:hAnsi="仿宋" w:eastAsia="仿宋"/>
          <w:color w:val="00B0F0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/>
          <w:color w:val="FF000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宋体"/>
          <w:b w:val="0"/>
          <w:bCs w:val="0"/>
          <w:color w:val="auto"/>
          <w:sz w:val="32"/>
          <w:szCs w:val="32"/>
          <w:lang w:val="en-US" w:eastAsia="zh-CN"/>
        </w:rPr>
        <w:t>2、</w:t>
      </w:r>
      <w:r>
        <w:rPr>
          <w:rFonts w:hint="eastAsia" w:ascii="仿宋" w:hAnsi="仿宋" w:eastAsia="仿宋" w:cs="宋体"/>
          <w:b w:val="0"/>
          <w:bCs w:val="0"/>
          <w:color w:val="auto"/>
          <w:sz w:val="32"/>
          <w:szCs w:val="32"/>
        </w:rPr>
        <w:t>企业所得税</w:t>
      </w:r>
      <w:r>
        <w:rPr>
          <w:rFonts w:hint="eastAsia" w:ascii="仿宋" w:hAnsi="仿宋" w:eastAsia="仿宋" w:cs="宋体"/>
          <w:b w:val="0"/>
          <w:bCs w:val="0"/>
          <w:color w:val="auto"/>
          <w:sz w:val="32"/>
          <w:szCs w:val="32"/>
          <w:lang w:val="en-US" w:eastAsia="zh-CN"/>
        </w:rPr>
        <w:t>1698</w:t>
      </w:r>
      <w:r>
        <w:rPr>
          <w:rFonts w:hint="eastAsia" w:ascii="仿宋" w:hAnsi="仿宋" w:eastAsia="仿宋" w:cs="宋体"/>
          <w:b w:val="0"/>
          <w:bCs w:val="0"/>
          <w:color w:val="auto"/>
          <w:sz w:val="32"/>
          <w:szCs w:val="32"/>
        </w:rPr>
        <w:t>万元，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lang w:eastAsia="zh-CN"/>
        </w:rPr>
        <w:t>较上年决算（执行数）下降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lang w:val="en-US" w:eastAsia="zh-CN"/>
        </w:rPr>
        <w:t>31.7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</w:rPr>
        <w:t>%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lang w:eastAsia="zh-CN"/>
        </w:rPr>
        <w:t>。</w:t>
      </w:r>
    </w:p>
    <w:p>
      <w:pPr>
        <w:numPr>
          <w:ilvl w:val="0"/>
          <w:numId w:val="3"/>
        </w:numPr>
        <w:ind w:firstLine="640" w:firstLineChars="200"/>
        <w:rPr>
          <w:rFonts w:hint="eastAsia" w:ascii="仿宋_GB2312" w:hAnsi="宋体" w:eastAsia="仿宋_GB2312"/>
          <w:color w:val="auto"/>
          <w:sz w:val="32"/>
          <w:szCs w:val="32"/>
        </w:rPr>
      </w:pPr>
      <w:r>
        <w:rPr>
          <w:rFonts w:hint="eastAsia" w:ascii="仿宋" w:hAnsi="仿宋" w:eastAsia="仿宋" w:cs="宋体"/>
          <w:color w:val="auto"/>
          <w:sz w:val="32"/>
          <w:szCs w:val="32"/>
          <w:lang w:val="en-US" w:eastAsia="zh-CN"/>
        </w:rPr>
        <w:t>个人所得728万元，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较上年决算（执行数）下降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29</w:t>
      </w:r>
      <w:r>
        <w:rPr>
          <w:rFonts w:hint="eastAsia" w:ascii="仿宋" w:hAnsi="仿宋" w:eastAsia="仿宋"/>
          <w:color w:val="auto"/>
          <w:sz w:val="32"/>
          <w:szCs w:val="32"/>
        </w:rPr>
        <w:t>%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。</w:t>
      </w:r>
    </w:p>
    <w:p>
      <w:pPr>
        <w:numPr>
          <w:ilvl w:val="0"/>
          <w:numId w:val="3"/>
        </w:numPr>
        <w:ind w:firstLine="640" w:firstLineChars="200"/>
        <w:rPr>
          <w:rFonts w:hint="eastAsia"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城市建设维护税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2060万元，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较上年决算（执行数）下降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9.2</w:t>
      </w:r>
      <w:r>
        <w:rPr>
          <w:rFonts w:hint="eastAsia" w:ascii="仿宋" w:hAnsi="仿宋" w:eastAsia="仿宋"/>
          <w:color w:val="auto"/>
          <w:sz w:val="32"/>
          <w:szCs w:val="32"/>
        </w:rPr>
        <w:t>%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。</w:t>
      </w:r>
    </w:p>
    <w:p>
      <w:pPr>
        <w:numPr>
          <w:ilvl w:val="0"/>
          <w:numId w:val="3"/>
        </w:numPr>
        <w:ind w:firstLine="640" w:firstLineChars="200"/>
        <w:rPr>
          <w:rFonts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环保税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200万元，较上年决算（执行数）增长18.3%。</w:t>
      </w:r>
    </w:p>
    <w:p>
      <w:pPr>
        <w:numPr>
          <w:ilvl w:val="0"/>
          <w:numId w:val="3"/>
        </w:numPr>
        <w:ind w:firstLine="640" w:firstLineChars="200"/>
        <w:rPr>
          <w:rFonts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房产税、城镇土地使用税、契税、车船税等其他税种收入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66409万元，较上年决算（执行数）增长21.9%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。</w:t>
      </w:r>
    </w:p>
    <w:p>
      <w:pPr>
        <w:pStyle w:val="2"/>
        <w:rPr>
          <w:rFonts w:hint="eastAsia" w:eastAsia="仿宋_GB2312"/>
          <w:lang w:eastAsia="zh-CN"/>
        </w:rPr>
      </w:pPr>
      <w:r>
        <w:rPr>
          <w:rFonts w:hint="eastAsia" w:ascii="仿宋_GB2312" w:hAnsi="宋体"/>
          <w:color w:val="auto"/>
          <w:sz w:val="32"/>
          <w:szCs w:val="32"/>
          <w:lang w:eastAsia="zh-CN"/>
        </w:rPr>
        <w:t>增值税、企业所得税、个人所得税、城建税收入下降的主要原因是：受疫情影响，市本级支柱性企业收入预计减收，如：金山化工</w:t>
      </w:r>
      <w:r>
        <w:rPr>
          <w:rFonts w:hint="eastAsia" w:ascii="仿宋_GB2312" w:hAnsi="宋体"/>
          <w:color w:val="auto"/>
          <w:sz w:val="32"/>
          <w:szCs w:val="32"/>
          <w:lang w:val="en-US" w:eastAsia="zh-CN"/>
        </w:rPr>
        <w:t>2021年预计</w:t>
      </w:r>
      <w:r>
        <w:rPr>
          <w:rFonts w:hint="eastAsia" w:ascii="仿宋_GB2312" w:hAnsi="宋体"/>
          <w:color w:val="auto"/>
          <w:sz w:val="32"/>
          <w:szCs w:val="32"/>
          <w:lang w:eastAsia="zh-CN"/>
        </w:rPr>
        <w:t>产能下降，收入下降</w:t>
      </w:r>
      <w:r>
        <w:rPr>
          <w:rFonts w:hint="eastAsia" w:ascii="仿宋_GB2312" w:hAnsi="宋体"/>
          <w:color w:val="auto"/>
          <w:sz w:val="32"/>
          <w:szCs w:val="32"/>
          <w:lang w:val="en-US" w:eastAsia="zh-CN"/>
        </w:rPr>
        <w:t>3.9亿元；吉凯恩公司、孟州市市本级农商行预计税收下降1360多万元。</w:t>
      </w:r>
    </w:p>
    <w:p>
      <w:pPr>
        <w:numPr>
          <w:ilvl w:val="0"/>
          <w:numId w:val="0"/>
        </w:numPr>
        <w:spacing w:line="600" w:lineRule="exact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B0F0"/>
          <w:sz w:val="32"/>
          <w:szCs w:val="32"/>
          <w:lang w:val="en-US" w:eastAsia="zh-CN"/>
        </w:rPr>
        <w:t xml:space="preserve">  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（二）上级补助收入项目情况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20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21</w:t>
      </w:r>
      <w:r>
        <w:rPr>
          <w:rFonts w:hint="eastAsia" w:ascii="仿宋" w:hAnsi="仿宋" w:eastAsia="仿宋" w:cs="宋体"/>
          <w:sz w:val="32"/>
          <w:szCs w:val="32"/>
        </w:rPr>
        <w:t>年预算上级补助收入安排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84804</w:t>
      </w:r>
      <w:r>
        <w:rPr>
          <w:rFonts w:hint="eastAsia" w:ascii="仿宋" w:hAnsi="仿宋" w:eastAsia="仿宋" w:cs="宋体"/>
          <w:sz w:val="32"/>
          <w:szCs w:val="32"/>
        </w:rPr>
        <w:t>万元，其中：返还性收入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7747</w:t>
      </w:r>
      <w:r>
        <w:rPr>
          <w:rFonts w:hint="eastAsia" w:ascii="仿宋" w:hAnsi="仿宋" w:eastAsia="仿宋" w:cs="宋体"/>
          <w:sz w:val="32"/>
          <w:szCs w:val="32"/>
        </w:rPr>
        <w:t>万元、一般性转移支付收入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74027</w:t>
      </w:r>
      <w:r>
        <w:rPr>
          <w:rFonts w:hint="eastAsia" w:ascii="仿宋" w:hAnsi="仿宋" w:eastAsia="仿宋" w:cs="宋体"/>
          <w:sz w:val="32"/>
          <w:szCs w:val="32"/>
        </w:rPr>
        <w:t>万元、专项转移支付收入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3030</w:t>
      </w:r>
      <w:r>
        <w:rPr>
          <w:rFonts w:hint="eastAsia" w:ascii="仿宋" w:hAnsi="仿宋" w:eastAsia="仿宋" w:cs="宋体"/>
          <w:sz w:val="32"/>
          <w:szCs w:val="32"/>
        </w:rPr>
        <w:t>万元。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1.返还性收入7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747</w:t>
      </w:r>
      <w:r>
        <w:rPr>
          <w:rFonts w:hint="eastAsia" w:ascii="仿宋" w:hAnsi="仿宋" w:eastAsia="仿宋" w:cs="宋体"/>
          <w:sz w:val="32"/>
          <w:szCs w:val="32"/>
        </w:rPr>
        <w:t>万元，其中：所得税基数返还收入1921万元、增值税收入返还4129万元、消费税返还228万元、</w:t>
      </w:r>
      <w:r>
        <w:rPr>
          <w:rFonts w:hint="eastAsia" w:ascii="仿宋" w:hAnsi="仿宋" w:eastAsia="仿宋" w:cs="宋体"/>
          <w:sz w:val="32"/>
          <w:szCs w:val="32"/>
          <w:lang w:eastAsia="zh-CN"/>
        </w:rPr>
        <w:t>增值税五五分享税收返还收入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368万元、</w:t>
      </w:r>
      <w:r>
        <w:rPr>
          <w:rFonts w:hint="eastAsia" w:ascii="仿宋" w:hAnsi="仿宋" w:eastAsia="仿宋" w:cs="宋体"/>
          <w:sz w:val="32"/>
          <w:szCs w:val="32"/>
        </w:rPr>
        <w:t>成品油税费改革税收返还收入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1101</w:t>
      </w:r>
      <w:r>
        <w:rPr>
          <w:rFonts w:hint="eastAsia" w:ascii="仿宋" w:hAnsi="仿宋" w:eastAsia="仿宋" w:cs="宋体"/>
          <w:sz w:val="32"/>
          <w:szCs w:val="32"/>
        </w:rPr>
        <w:t>万元。</w:t>
      </w:r>
    </w:p>
    <w:p>
      <w:pPr>
        <w:spacing w:line="560" w:lineRule="exact"/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</w:rPr>
        <w:t>2.一般性转移支付收入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74027</w:t>
      </w:r>
      <w:r>
        <w:rPr>
          <w:rFonts w:hint="eastAsia" w:ascii="仿宋" w:hAnsi="仿宋" w:eastAsia="仿宋" w:cs="宋体"/>
          <w:sz w:val="32"/>
          <w:szCs w:val="32"/>
        </w:rPr>
        <w:t>万元，其中：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均衡性转移支付</w:t>
      </w:r>
      <w:r>
        <w:rPr>
          <w:rFonts w:hint="eastAsia" w:ascii="仿宋" w:hAnsi="仿宋" w:eastAsia="仿宋" w:cs="宋体"/>
          <w:color w:val="auto"/>
          <w:sz w:val="32"/>
          <w:szCs w:val="32"/>
          <w:lang w:val="en-US" w:eastAsia="zh-CN"/>
        </w:rPr>
        <w:t>11914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万元、</w:t>
      </w:r>
      <w:r>
        <w:rPr>
          <w:rFonts w:hint="eastAsia" w:ascii="仿宋" w:hAnsi="仿宋" w:eastAsia="仿宋" w:cs="宋体"/>
          <w:color w:val="auto"/>
          <w:sz w:val="32"/>
          <w:szCs w:val="32"/>
          <w:lang w:eastAsia="zh-CN"/>
        </w:rPr>
        <w:t>县级基本财力保障机制奖补资金</w:t>
      </w:r>
      <w:r>
        <w:rPr>
          <w:rFonts w:hint="eastAsia" w:ascii="仿宋" w:hAnsi="仿宋" w:eastAsia="仿宋" w:cs="宋体"/>
          <w:color w:val="auto"/>
          <w:sz w:val="32"/>
          <w:szCs w:val="32"/>
          <w:lang w:val="en-US" w:eastAsia="zh-CN"/>
        </w:rPr>
        <w:t>3922万元、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结算补助</w:t>
      </w:r>
      <w:r>
        <w:rPr>
          <w:rFonts w:hint="eastAsia" w:ascii="仿宋" w:hAnsi="仿宋" w:eastAsia="仿宋" w:cs="宋体"/>
          <w:color w:val="auto"/>
          <w:sz w:val="32"/>
          <w:szCs w:val="32"/>
          <w:lang w:val="en-US" w:eastAsia="zh-CN"/>
        </w:rPr>
        <w:t>2306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万元</w:t>
      </w:r>
      <w:r>
        <w:rPr>
          <w:rFonts w:hint="eastAsia" w:ascii="仿宋" w:hAnsi="仿宋" w:eastAsia="仿宋" w:cs="宋体"/>
          <w:color w:val="auto"/>
          <w:sz w:val="32"/>
          <w:szCs w:val="32"/>
          <w:lang w:eastAsia="zh-CN"/>
        </w:rPr>
        <w:t>、产粮大县奖励资金</w:t>
      </w:r>
      <w:r>
        <w:rPr>
          <w:rFonts w:hint="eastAsia" w:ascii="仿宋" w:hAnsi="仿宋" w:eastAsia="仿宋" w:cs="宋体"/>
          <w:color w:val="auto"/>
          <w:sz w:val="32"/>
          <w:szCs w:val="32"/>
          <w:lang w:val="en-US" w:eastAsia="zh-CN"/>
        </w:rPr>
        <w:t>1618万元、固定数额补助9060万元、贫困地区转移支付191万元、</w:t>
      </w:r>
      <w:r>
        <w:rPr>
          <w:rFonts w:hint="eastAsia" w:ascii="仿宋" w:hAnsi="仿宋" w:eastAsia="仿宋"/>
          <w:color w:val="auto"/>
          <w:sz w:val="30"/>
          <w:szCs w:val="30"/>
          <w:lang w:eastAsia="zh-CN"/>
        </w:rPr>
        <w:t>公共安全共同财政事权转移支付收入</w:t>
      </w:r>
      <w:r>
        <w:rPr>
          <w:rFonts w:hint="eastAsia" w:ascii="仿宋" w:hAnsi="仿宋" w:eastAsia="仿宋"/>
          <w:color w:val="auto"/>
          <w:sz w:val="30"/>
          <w:szCs w:val="30"/>
          <w:lang w:val="en-US" w:eastAsia="zh-CN"/>
        </w:rPr>
        <w:t>944万元、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教育共同财政事权转移支付收入4583万元、文化旅游体育与传媒共同财政事权转移支付收入753万元、社会保障和就业共同财政事权转移支付收14277万元、医疗卫生共同财政事权转移支付收入17971万元、农林水共同财政事权转移支付收入5830万元、住房保障共同财政事权转移支付收入658万元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宋体"/>
          <w:color w:val="auto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3．专项转移支付收入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3030</w:t>
      </w:r>
      <w:r>
        <w:rPr>
          <w:rFonts w:hint="eastAsia" w:ascii="仿宋" w:hAnsi="仿宋" w:eastAsia="仿宋" w:cs="宋体"/>
          <w:sz w:val="32"/>
          <w:szCs w:val="32"/>
        </w:rPr>
        <w:t>万元，其中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：</w:t>
      </w:r>
      <w:r>
        <w:rPr>
          <w:rFonts w:hint="eastAsia" w:ascii="仿宋" w:hAnsi="仿宋" w:eastAsia="仿宋" w:cs="宋体"/>
          <w:color w:val="auto"/>
          <w:sz w:val="32"/>
          <w:szCs w:val="32"/>
          <w:lang w:eastAsia="zh-CN"/>
        </w:rPr>
        <w:t>一般公共服务</w:t>
      </w:r>
      <w:r>
        <w:rPr>
          <w:rFonts w:hint="eastAsia" w:ascii="仿宋" w:hAnsi="仿宋" w:eastAsia="仿宋" w:cs="宋体"/>
          <w:color w:val="auto"/>
          <w:sz w:val="32"/>
          <w:szCs w:val="32"/>
          <w:lang w:val="en-US" w:eastAsia="zh-CN"/>
        </w:rPr>
        <w:t>1万元、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教育</w:t>
      </w:r>
      <w:r>
        <w:rPr>
          <w:rFonts w:hint="eastAsia" w:ascii="仿宋" w:hAnsi="仿宋" w:eastAsia="仿宋" w:cs="宋体"/>
          <w:color w:val="auto"/>
          <w:sz w:val="32"/>
          <w:szCs w:val="32"/>
          <w:lang w:val="en-US" w:eastAsia="zh-CN"/>
        </w:rPr>
        <w:t>160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万元、文化</w:t>
      </w:r>
      <w:r>
        <w:rPr>
          <w:rFonts w:hint="eastAsia" w:ascii="仿宋" w:hAnsi="仿宋" w:eastAsia="仿宋" w:cs="宋体"/>
          <w:color w:val="auto"/>
          <w:sz w:val="32"/>
          <w:szCs w:val="32"/>
          <w:lang w:eastAsia="zh-CN"/>
        </w:rPr>
        <w:t>旅游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体育与传媒</w:t>
      </w:r>
      <w:r>
        <w:rPr>
          <w:rFonts w:hint="eastAsia" w:ascii="仿宋" w:hAnsi="仿宋" w:eastAsia="仿宋" w:cs="宋体"/>
          <w:color w:val="auto"/>
          <w:sz w:val="32"/>
          <w:szCs w:val="32"/>
          <w:lang w:val="en-US" w:eastAsia="zh-CN"/>
        </w:rPr>
        <w:t>77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万元、</w:t>
      </w:r>
      <w:r>
        <w:rPr>
          <w:rFonts w:hint="eastAsia" w:ascii="仿宋" w:hAnsi="仿宋" w:eastAsia="仿宋" w:cs="宋体"/>
          <w:color w:val="auto"/>
          <w:sz w:val="32"/>
          <w:szCs w:val="32"/>
          <w:lang w:eastAsia="zh-CN"/>
        </w:rPr>
        <w:t>卫生健康</w:t>
      </w:r>
      <w:r>
        <w:rPr>
          <w:rFonts w:hint="eastAsia" w:ascii="仿宋" w:hAnsi="仿宋" w:eastAsia="仿宋" w:cs="宋体"/>
          <w:color w:val="auto"/>
          <w:sz w:val="32"/>
          <w:szCs w:val="32"/>
          <w:lang w:val="en-US" w:eastAsia="zh-CN"/>
        </w:rPr>
        <w:t>131万元、城乡社区1093万元、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农林水事务</w:t>
      </w:r>
      <w:r>
        <w:rPr>
          <w:rFonts w:hint="eastAsia" w:ascii="仿宋" w:hAnsi="仿宋" w:eastAsia="仿宋" w:cs="宋体"/>
          <w:color w:val="auto"/>
          <w:sz w:val="32"/>
          <w:szCs w:val="32"/>
          <w:lang w:val="en-US" w:eastAsia="zh-CN"/>
        </w:rPr>
        <w:t>704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万元</w:t>
      </w:r>
      <w:r>
        <w:rPr>
          <w:rFonts w:hint="eastAsia" w:ascii="仿宋" w:hAnsi="仿宋" w:eastAsia="仿宋" w:cs="宋体"/>
          <w:color w:val="auto"/>
          <w:sz w:val="32"/>
          <w:szCs w:val="32"/>
          <w:lang w:eastAsia="zh-CN"/>
        </w:rPr>
        <w:t>、资源勘探信息等</w:t>
      </w:r>
      <w:r>
        <w:rPr>
          <w:rFonts w:hint="eastAsia" w:ascii="仿宋" w:hAnsi="仿宋" w:eastAsia="仿宋" w:cs="宋体"/>
          <w:color w:val="auto"/>
          <w:sz w:val="32"/>
          <w:szCs w:val="32"/>
          <w:lang w:val="en-US" w:eastAsia="zh-CN"/>
        </w:rPr>
        <w:t>864万元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（三）其他收入情况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  <w:lang w:eastAsia="zh-CN"/>
        </w:rPr>
        <w:t>动用</w:t>
      </w:r>
      <w:r>
        <w:rPr>
          <w:rFonts w:hint="eastAsia" w:ascii="仿宋" w:hAnsi="仿宋" w:eastAsia="仿宋" w:cs="宋体"/>
          <w:sz w:val="32"/>
          <w:szCs w:val="32"/>
        </w:rPr>
        <w:t>预算稳定调节基金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宋体"/>
          <w:sz w:val="32"/>
          <w:szCs w:val="32"/>
        </w:rPr>
        <w:t>万元，上年结转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1455</w:t>
      </w:r>
      <w:r>
        <w:rPr>
          <w:rFonts w:hint="eastAsia" w:ascii="仿宋" w:hAnsi="仿宋" w:eastAsia="仿宋" w:cs="宋体"/>
          <w:sz w:val="32"/>
          <w:szCs w:val="32"/>
        </w:rPr>
        <w:t>万元</w:t>
      </w:r>
      <w:r>
        <w:rPr>
          <w:rFonts w:hint="eastAsia" w:ascii="仿宋" w:hAnsi="仿宋" w:eastAsia="仿宋" w:cs="宋体"/>
          <w:sz w:val="32"/>
          <w:szCs w:val="32"/>
          <w:lang w:eastAsia="zh-CN"/>
        </w:rPr>
        <w:t>，上解乡镇收入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11965万元，</w:t>
      </w:r>
      <w:r>
        <w:rPr>
          <w:rFonts w:hint="eastAsia" w:ascii="仿宋" w:hAnsi="仿宋" w:eastAsia="仿宋" w:cs="宋体"/>
          <w:sz w:val="32"/>
          <w:szCs w:val="32"/>
          <w:lang w:eastAsia="zh-CN"/>
        </w:rPr>
        <w:t>调入资金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6000万元。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20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21</w:t>
      </w:r>
      <w:r>
        <w:rPr>
          <w:rFonts w:hint="eastAsia" w:ascii="仿宋" w:hAnsi="仿宋" w:eastAsia="仿宋" w:cs="宋体"/>
          <w:sz w:val="32"/>
          <w:szCs w:val="32"/>
        </w:rPr>
        <w:t>年，地方级一般公共预算收入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106676</w:t>
      </w:r>
      <w:r>
        <w:rPr>
          <w:rFonts w:hint="eastAsia" w:ascii="仿宋" w:hAnsi="仿宋" w:eastAsia="仿宋" w:cs="宋体"/>
          <w:sz w:val="32"/>
          <w:szCs w:val="32"/>
        </w:rPr>
        <w:t>万元，加上上级补助、</w:t>
      </w:r>
      <w:r>
        <w:rPr>
          <w:rFonts w:hint="eastAsia" w:ascii="仿宋" w:hAnsi="仿宋" w:eastAsia="仿宋" w:cs="宋体"/>
          <w:sz w:val="32"/>
          <w:szCs w:val="32"/>
          <w:lang w:eastAsia="zh-CN"/>
        </w:rPr>
        <w:t>动用</w:t>
      </w:r>
      <w:r>
        <w:rPr>
          <w:rFonts w:hint="eastAsia" w:ascii="仿宋" w:hAnsi="仿宋" w:eastAsia="仿宋" w:cs="宋体"/>
          <w:sz w:val="32"/>
          <w:szCs w:val="32"/>
        </w:rPr>
        <w:t>预算稳定平衡基金、上年结转等综合测算，一般公共预算收入总额为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211000</w:t>
      </w:r>
      <w:r>
        <w:rPr>
          <w:rFonts w:hint="eastAsia" w:ascii="仿宋" w:hAnsi="仿宋" w:eastAsia="仿宋" w:cs="宋体"/>
          <w:sz w:val="32"/>
          <w:szCs w:val="32"/>
        </w:rPr>
        <w:t>万元。</w:t>
      </w:r>
    </w:p>
    <w:p>
      <w:pPr>
        <w:spacing w:line="600" w:lineRule="exact"/>
        <w:ind w:firstLine="640" w:firstLineChars="200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二、20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21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年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孟州市市本级市本级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一般公共预算支出情况的说明</w:t>
      </w:r>
    </w:p>
    <w:p>
      <w:pPr>
        <w:pStyle w:val="3"/>
        <w:spacing w:before="0" w:beforeAutospacing="0" w:after="0" w:afterAutospacing="0"/>
        <w:ind w:firstLine="640"/>
        <w:jc w:val="both"/>
        <w:rPr>
          <w:rFonts w:hint="eastAsia" w:ascii="仿宋" w:hAnsi="仿宋" w:eastAsia="仿宋" w:cs="宋体"/>
          <w:kern w:val="2"/>
          <w:sz w:val="32"/>
          <w:szCs w:val="32"/>
        </w:rPr>
      </w:pPr>
      <w:r>
        <w:rPr>
          <w:rFonts w:hint="eastAsia" w:ascii="仿宋" w:hAnsi="仿宋" w:eastAsia="仿宋" w:cs="宋体"/>
          <w:kern w:val="2"/>
          <w:sz w:val="32"/>
          <w:szCs w:val="32"/>
        </w:rPr>
        <w:t>20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21</w:t>
      </w:r>
      <w:r>
        <w:rPr>
          <w:rFonts w:hint="eastAsia" w:ascii="仿宋" w:hAnsi="仿宋" w:eastAsia="仿宋" w:cs="宋体"/>
          <w:kern w:val="2"/>
          <w:sz w:val="32"/>
          <w:szCs w:val="32"/>
        </w:rPr>
        <w:t>年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市本级</w:t>
      </w:r>
      <w:r>
        <w:rPr>
          <w:rFonts w:hint="eastAsia" w:ascii="仿宋" w:hAnsi="仿宋" w:eastAsia="仿宋" w:cs="宋体"/>
          <w:kern w:val="2"/>
          <w:sz w:val="32"/>
          <w:szCs w:val="32"/>
        </w:rPr>
        <w:t>一般公共预算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总</w:t>
      </w:r>
      <w:r>
        <w:rPr>
          <w:rFonts w:hint="eastAsia" w:ascii="仿宋" w:hAnsi="仿宋" w:eastAsia="仿宋" w:cs="宋体"/>
          <w:kern w:val="2"/>
          <w:sz w:val="32"/>
          <w:szCs w:val="32"/>
        </w:rPr>
        <w:t>支出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安排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211000</w:t>
      </w:r>
      <w:r>
        <w:rPr>
          <w:rFonts w:hint="eastAsia" w:ascii="仿宋" w:hAnsi="仿宋" w:eastAsia="仿宋" w:cs="宋体"/>
          <w:kern w:val="2"/>
          <w:sz w:val="32"/>
          <w:szCs w:val="32"/>
        </w:rPr>
        <w:t>万元，其中：地方级支出安排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185380</w:t>
      </w:r>
      <w:r>
        <w:rPr>
          <w:rFonts w:hint="eastAsia" w:ascii="仿宋" w:hAnsi="仿宋" w:eastAsia="仿宋" w:cs="宋体"/>
          <w:kern w:val="2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占上年决算（执行）数</w:t>
      </w:r>
      <w:r>
        <w:rPr>
          <w:rFonts w:hint="eastAsia" w:ascii="仿宋" w:hAnsi="仿宋" w:eastAsia="仿宋" w:cs="宋体"/>
          <w:kern w:val="2"/>
          <w:sz w:val="32"/>
          <w:szCs w:val="32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72.5</w:t>
      </w:r>
      <w:r>
        <w:rPr>
          <w:rFonts w:hint="eastAsia" w:ascii="仿宋" w:hAnsi="仿宋" w:eastAsia="仿宋" w:cs="宋体"/>
          <w:kern w:val="2"/>
          <w:sz w:val="32"/>
          <w:szCs w:val="32"/>
        </w:rPr>
        <w:t>%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，主要原因是：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2021年预算提前告知上级补助84804万元，比2020年决算（执行）数中上级补助143259万元减少58455万元。</w:t>
      </w:r>
      <w:r>
        <w:rPr>
          <w:rFonts w:hint="eastAsia" w:ascii="仿宋" w:hAnsi="仿宋" w:eastAsia="仿宋" w:cs="宋体"/>
          <w:kern w:val="2"/>
          <w:sz w:val="32"/>
          <w:szCs w:val="32"/>
        </w:rPr>
        <w:t>上解支出安排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25620</w:t>
      </w:r>
      <w:r>
        <w:rPr>
          <w:rFonts w:hint="eastAsia" w:ascii="仿宋" w:hAnsi="仿宋" w:eastAsia="仿宋" w:cs="宋体"/>
          <w:kern w:val="2"/>
          <w:sz w:val="32"/>
          <w:szCs w:val="32"/>
        </w:rPr>
        <w:t>万元。</w:t>
      </w:r>
    </w:p>
    <w:p>
      <w:pPr>
        <w:pStyle w:val="3"/>
        <w:spacing w:before="0" w:beforeAutospacing="0" w:after="0" w:afterAutospacing="0"/>
        <w:ind w:firstLine="640"/>
        <w:jc w:val="both"/>
        <w:rPr>
          <w:rFonts w:hint="eastAsia" w:ascii="楷体" w:hAnsi="楷体" w:eastAsia="楷体" w:cs="楷体"/>
          <w:b/>
          <w:bCs/>
          <w:kern w:val="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kern w:val="2"/>
          <w:sz w:val="32"/>
          <w:szCs w:val="32"/>
          <w:lang w:eastAsia="zh-CN"/>
        </w:rPr>
        <w:t>（一）地方级主要支出安排情况</w:t>
      </w:r>
    </w:p>
    <w:p>
      <w:pPr>
        <w:pStyle w:val="3"/>
        <w:spacing w:before="0" w:beforeAutospacing="0" w:after="0" w:afterAutospacing="0"/>
        <w:ind w:firstLine="640"/>
        <w:jc w:val="both"/>
        <w:rPr>
          <w:rFonts w:hint="eastAsia" w:ascii="仿宋" w:hAnsi="仿宋" w:eastAsia="仿宋" w:cs="宋体"/>
          <w:kern w:val="2"/>
          <w:sz w:val="32"/>
          <w:szCs w:val="32"/>
        </w:rPr>
      </w:pP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一般公共预算支出185380万元，为上年执行数的72.5%。其中：人员和公用经费等基本支出75502万元，占比40.7%；项目支出109878万元，占比59.3%。主</w:t>
      </w:r>
      <w:r>
        <w:rPr>
          <w:rFonts w:hint="eastAsia" w:ascii="仿宋" w:hAnsi="仿宋" w:eastAsia="仿宋" w:cs="宋体"/>
          <w:kern w:val="2"/>
          <w:sz w:val="32"/>
          <w:szCs w:val="32"/>
        </w:rPr>
        <w:t>要支出功能科目是：</w:t>
      </w:r>
    </w:p>
    <w:p>
      <w:pPr>
        <w:pStyle w:val="3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</w:rPr>
      </w:pPr>
      <w:r>
        <w:rPr>
          <w:rFonts w:hint="eastAsia" w:ascii="仿宋" w:hAnsi="仿宋" w:eastAsia="仿宋" w:cs="宋体"/>
          <w:kern w:val="2"/>
          <w:sz w:val="32"/>
          <w:szCs w:val="32"/>
        </w:rPr>
        <w:t>1、一般公共服务支出安排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20109</w:t>
      </w:r>
      <w:r>
        <w:rPr>
          <w:rFonts w:hint="eastAsia" w:ascii="仿宋" w:hAnsi="仿宋" w:eastAsia="仿宋" w:cs="宋体"/>
          <w:kern w:val="2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占上年决算（执行）数</w:t>
      </w:r>
      <w:r>
        <w:rPr>
          <w:rFonts w:hint="eastAsia" w:ascii="仿宋" w:hAnsi="仿宋" w:eastAsia="仿宋" w:cs="宋体"/>
          <w:kern w:val="2"/>
          <w:sz w:val="32"/>
          <w:szCs w:val="32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58.2</w:t>
      </w:r>
      <w:r>
        <w:rPr>
          <w:rFonts w:hint="eastAsia" w:ascii="仿宋" w:hAnsi="仿宋" w:eastAsia="仿宋" w:cs="宋体"/>
          <w:kern w:val="2"/>
          <w:sz w:val="32"/>
          <w:szCs w:val="32"/>
        </w:rPr>
        <w:t>%；</w:t>
      </w:r>
    </w:p>
    <w:p>
      <w:pPr>
        <w:pStyle w:val="3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</w:rPr>
      </w:pPr>
      <w:r>
        <w:rPr>
          <w:rFonts w:hint="eastAsia" w:ascii="仿宋" w:hAnsi="仿宋" w:eastAsia="仿宋" w:cs="宋体"/>
          <w:kern w:val="2"/>
          <w:sz w:val="32"/>
          <w:szCs w:val="32"/>
        </w:rPr>
        <w:t>2、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国防支出安排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175万元</w:t>
      </w:r>
      <w:r>
        <w:rPr>
          <w:rFonts w:hint="eastAsia" w:ascii="仿宋" w:hAnsi="仿宋" w:eastAsia="仿宋" w:cs="宋体"/>
          <w:kern w:val="2"/>
          <w:sz w:val="32"/>
          <w:szCs w:val="32"/>
        </w:rPr>
        <w:t>；</w:t>
      </w:r>
    </w:p>
    <w:p>
      <w:pPr>
        <w:pStyle w:val="3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</w:rPr>
      </w:pP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3、</w:t>
      </w:r>
      <w:r>
        <w:rPr>
          <w:rFonts w:hint="eastAsia" w:ascii="仿宋" w:hAnsi="仿宋" w:eastAsia="仿宋" w:cs="宋体"/>
          <w:kern w:val="2"/>
          <w:sz w:val="32"/>
          <w:szCs w:val="32"/>
        </w:rPr>
        <w:t>公共安全支出安排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8585</w:t>
      </w:r>
      <w:r>
        <w:rPr>
          <w:rFonts w:hint="eastAsia" w:ascii="仿宋" w:hAnsi="仿宋" w:eastAsia="仿宋" w:cs="宋体"/>
          <w:kern w:val="2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占上年决算（执行）数</w:t>
      </w:r>
      <w:r>
        <w:rPr>
          <w:rFonts w:hint="eastAsia" w:ascii="仿宋" w:hAnsi="仿宋" w:eastAsia="仿宋" w:cs="宋体"/>
          <w:kern w:val="2"/>
          <w:sz w:val="32"/>
          <w:szCs w:val="32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67.7</w:t>
      </w:r>
      <w:r>
        <w:rPr>
          <w:rFonts w:hint="eastAsia" w:ascii="仿宋" w:hAnsi="仿宋" w:eastAsia="仿宋" w:cs="宋体"/>
          <w:kern w:val="2"/>
          <w:sz w:val="32"/>
          <w:szCs w:val="32"/>
        </w:rPr>
        <w:t>%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，减少的主要原因是法院、检察院上划省级，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2021年市本级不再安排支出；</w:t>
      </w:r>
    </w:p>
    <w:p>
      <w:pPr>
        <w:pStyle w:val="3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</w:rPr>
      </w:pP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宋体"/>
          <w:kern w:val="2"/>
          <w:sz w:val="32"/>
          <w:szCs w:val="32"/>
        </w:rPr>
        <w:t>、教育支出安排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37748</w:t>
      </w:r>
      <w:r>
        <w:rPr>
          <w:rFonts w:hint="eastAsia" w:ascii="仿宋" w:hAnsi="仿宋" w:eastAsia="仿宋" w:cs="宋体"/>
          <w:kern w:val="2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占上年决算（执行）数</w:t>
      </w:r>
      <w:r>
        <w:rPr>
          <w:rFonts w:hint="eastAsia" w:ascii="仿宋" w:hAnsi="仿宋" w:eastAsia="仿宋" w:cs="宋体"/>
          <w:kern w:val="2"/>
          <w:sz w:val="32"/>
          <w:szCs w:val="32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87.7</w:t>
      </w:r>
      <w:r>
        <w:rPr>
          <w:rFonts w:hint="eastAsia" w:ascii="仿宋" w:hAnsi="仿宋" w:eastAsia="仿宋" w:cs="宋体"/>
          <w:kern w:val="2"/>
          <w:sz w:val="32"/>
          <w:szCs w:val="32"/>
        </w:rPr>
        <w:t>%；</w:t>
      </w:r>
    </w:p>
    <w:p>
      <w:pPr>
        <w:pStyle w:val="3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</w:rPr>
      </w:pP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宋体"/>
          <w:kern w:val="2"/>
          <w:sz w:val="32"/>
          <w:szCs w:val="32"/>
        </w:rPr>
        <w:t>、科学技术支出安排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2564</w:t>
      </w:r>
      <w:r>
        <w:rPr>
          <w:rFonts w:hint="eastAsia" w:ascii="仿宋" w:hAnsi="仿宋" w:eastAsia="仿宋" w:cs="宋体"/>
          <w:kern w:val="2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占上年决算（执行）数</w:t>
      </w:r>
      <w:r>
        <w:rPr>
          <w:rFonts w:hint="eastAsia" w:ascii="仿宋" w:hAnsi="仿宋" w:eastAsia="仿宋" w:cs="宋体"/>
          <w:kern w:val="2"/>
          <w:sz w:val="32"/>
          <w:szCs w:val="32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29.2</w:t>
      </w:r>
      <w:r>
        <w:rPr>
          <w:rFonts w:hint="eastAsia" w:ascii="仿宋" w:hAnsi="仿宋" w:eastAsia="仿宋" w:cs="宋体"/>
          <w:kern w:val="2"/>
          <w:sz w:val="32"/>
          <w:szCs w:val="32"/>
        </w:rPr>
        <w:t>%；</w:t>
      </w:r>
    </w:p>
    <w:p>
      <w:pPr>
        <w:pStyle w:val="3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</w:rPr>
      </w:pP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宋体"/>
          <w:kern w:val="2"/>
          <w:sz w:val="32"/>
          <w:szCs w:val="32"/>
        </w:rPr>
        <w:t>、文化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旅游</w:t>
      </w:r>
      <w:r>
        <w:rPr>
          <w:rFonts w:hint="eastAsia" w:ascii="仿宋" w:hAnsi="仿宋" w:eastAsia="仿宋" w:cs="宋体"/>
          <w:kern w:val="2"/>
          <w:sz w:val="32"/>
          <w:szCs w:val="32"/>
        </w:rPr>
        <w:t>体育与传媒支出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1595</w:t>
      </w:r>
      <w:r>
        <w:rPr>
          <w:rFonts w:hint="eastAsia" w:ascii="仿宋" w:hAnsi="仿宋" w:eastAsia="仿宋" w:cs="宋体"/>
          <w:kern w:val="2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占上年决算（执行）数</w:t>
      </w:r>
      <w:r>
        <w:rPr>
          <w:rFonts w:hint="eastAsia" w:ascii="仿宋" w:hAnsi="仿宋" w:eastAsia="仿宋" w:cs="宋体"/>
          <w:kern w:val="2"/>
          <w:sz w:val="32"/>
          <w:szCs w:val="32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106.1</w:t>
      </w:r>
      <w:r>
        <w:rPr>
          <w:rFonts w:hint="eastAsia" w:ascii="仿宋" w:hAnsi="仿宋" w:eastAsia="仿宋" w:cs="宋体"/>
          <w:kern w:val="2"/>
          <w:sz w:val="32"/>
          <w:szCs w:val="32"/>
        </w:rPr>
        <w:t>%；</w:t>
      </w:r>
    </w:p>
    <w:p>
      <w:pPr>
        <w:pStyle w:val="3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</w:rPr>
      </w:pP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宋体"/>
          <w:kern w:val="2"/>
          <w:sz w:val="32"/>
          <w:szCs w:val="32"/>
        </w:rPr>
        <w:t>、社会保障和就业支出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37349</w:t>
      </w:r>
      <w:r>
        <w:rPr>
          <w:rFonts w:hint="eastAsia" w:ascii="仿宋" w:hAnsi="仿宋" w:eastAsia="仿宋" w:cs="宋体"/>
          <w:kern w:val="2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占上年决算（执行）数</w:t>
      </w:r>
      <w:r>
        <w:rPr>
          <w:rFonts w:hint="eastAsia" w:ascii="仿宋" w:hAnsi="仿宋" w:eastAsia="仿宋" w:cs="宋体"/>
          <w:kern w:val="2"/>
          <w:sz w:val="32"/>
          <w:szCs w:val="32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93</w:t>
      </w:r>
      <w:r>
        <w:rPr>
          <w:rFonts w:hint="eastAsia" w:ascii="仿宋" w:hAnsi="仿宋" w:eastAsia="仿宋" w:cs="宋体"/>
          <w:kern w:val="2"/>
          <w:sz w:val="32"/>
          <w:szCs w:val="32"/>
        </w:rPr>
        <w:t>%；</w:t>
      </w:r>
    </w:p>
    <w:p>
      <w:pPr>
        <w:pStyle w:val="3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</w:rPr>
      </w:pP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宋体"/>
          <w:kern w:val="2"/>
          <w:sz w:val="32"/>
          <w:szCs w:val="32"/>
        </w:rPr>
        <w:t>、卫生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健康</w:t>
      </w:r>
      <w:r>
        <w:rPr>
          <w:rFonts w:hint="eastAsia" w:ascii="仿宋" w:hAnsi="仿宋" w:eastAsia="仿宋" w:cs="宋体"/>
          <w:kern w:val="2"/>
          <w:sz w:val="32"/>
          <w:szCs w:val="32"/>
        </w:rPr>
        <w:t>支出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28238</w:t>
      </w:r>
      <w:r>
        <w:rPr>
          <w:rFonts w:hint="eastAsia" w:ascii="仿宋" w:hAnsi="仿宋" w:eastAsia="仿宋" w:cs="宋体"/>
          <w:kern w:val="2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占上年决算（执行）数</w:t>
      </w:r>
      <w:r>
        <w:rPr>
          <w:rFonts w:hint="eastAsia" w:ascii="仿宋" w:hAnsi="仿宋" w:eastAsia="仿宋" w:cs="宋体"/>
          <w:kern w:val="2"/>
          <w:sz w:val="32"/>
          <w:szCs w:val="32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73.2</w:t>
      </w:r>
      <w:r>
        <w:rPr>
          <w:rFonts w:hint="eastAsia" w:ascii="仿宋" w:hAnsi="仿宋" w:eastAsia="仿宋" w:cs="宋体"/>
          <w:kern w:val="2"/>
          <w:sz w:val="32"/>
          <w:szCs w:val="32"/>
        </w:rPr>
        <w:t>%；</w:t>
      </w:r>
    </w:p>
    <w:p>
      <w:pPr>
        <w:pStyle w:val="3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宋体"/>
          <w:kern w:val="2"/>
          <w:sz w:val="32"/>
          <w:szCs w:val="32"/>
        </w:rPr>
        <w:t>、节能环保支出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2069</w:t>
      </w:r>
      <w:r>
        <w:rPr>
          <w:rFonts w:hint="eastAsia" w:ascii="仿宋" w:hAnsi="仿宋" w:eastAsia="仿宋" w:cs="宋体"/>
          <w:kern w:val="2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占上年决算（执行）数</w:t>
      </w:r>
      <w:r>
        <w:rPr>
          <w:rFonts w:hint="eastAsia" w:ascii="仿宋" w:hAnsi="仿宋" w:eastAsia="仿宋" w:cs="宋体"/>
          <w:kern w:val="2"/>
          <w:sz w:val="32"/>
          <w:szCs w:val="32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20.4</w:t>
      </w:r>
      <w:r>
        <w:rPr>
          <w:rFonts w:hint="eastAsia" w:ascii="仿宋" w:hAnsi="仿宋" w:eastAsia="仿宋" w:cs="宋体"/>
          <w:kern w:val="2"/>
          <w:sz w:val="32"/>
          <w:szCs w:val="32"/>
        </w:rPr>
        <w:t>%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；</w:t>
      </w:r>
    </w:p>
    <w:p>
      <w:pPr>
        <w:pStyle w:val="3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</w:rPr>
      </w:pP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宋体"/>
          <w:kern w:val="2"/>
          <w:sz w:val="32"/>
          <w:szCs w:val="32"/>
        </w:rPr>
        <w:t>、城乡社区事务支出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8782</w:t>
      </w:r>
      <w:r>
        <w:rPr>
          <w:rFonts w:hint="eastAsia" w:ascii="仿宋" w:hAnsi="仿宋" w:eastAsia="仿宋" w:cs="宋体"/>
          <w:kern w:val="2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占上年决算（执行）数</w:t>
      </w:r>
      <w:r>
        <w:rPr>
          <w:rFonts w:hint="eastAsia" w:ascii="仿宋" w:hAnsi="仿宋" w:eastAsia="仿宋" w:cs="宋体"/>
          <w:kern w:val="2"/>
          <w:sz w:val="32"/>
          <w:szCs w:val="32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116.5</w:t>
      </w:r>
      <w:r>
        <w:rPr>
          <w:rFonts w:hint="eastAsia" w:ascii="仿宋" w:hAnsi="仿宋" w:eastAsia="仿宋" w:cs="宋体"/>
          <w:kern w:val="2"/>
          <w:sz w:val="32"/>
          <w:szCs w:val="32"/>
        </w:rPr>
        <w:t>%；</w:t>
      </w:r>
    </w:p>
    <w:p>
      <w:pPr>
        <w:pStyle w:val="3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</w:rPr>
      </w:pPr>
      <w:r>
        <w:rPr>
          <w:rFonts w:hint="eastAsia" w:ascii="仿宋" w:hAnsi="仿宋" w:eastAsia="仿宋" w:cs="宋体"/>
          <w:kern w:val="2"/>
          <w:sz w:val="32"/>
          <w:szCs w:val="32"/>
        </w:rPr>
        <w:t>1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宋体"/>
          <w:kern w:val="2"/>
          <w:sz w:val="32"/>
          <w:szCs w:val="32"/>
        </w:rPr>
        <w:t>、农林水支出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17164</w:t>
      </w:r>
      <w:r>
        <w:rPr>
          <w:rFonts w:hint="eastAsia" w:ascii="仿宋" w:hAnsi="仿宋" w:eastAsia="仿宋" w:cs="宋体"/>
          <w:kern w:val="2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占上年决算（执行）数</w:t>
      </w:r>
      <w:r>
        <w:rPr>
          <w:rFonts w:hint="eastAsia" w:ascii="仿宋" w:hAnsi="仿宋" w:eastAsia="仿宋" w:cs="宋体"/>
          <w:kern w:val="2"/>
          <w:sz w:val="32"/>
          <w:szCs w:val="32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60.2</w:t>
      </w:r>
      <w:r>
        <w:rPr>
          <w:rFonts w:hint="eastAsia" w:ascii="仿宋" w:hAnsi="仿宋" w:eastAsia="仿宋" w:cs="宋体"/>
          <w:kern w:val="2"/>
          <w:sz w:val="32"/>
          <w:szCs w:val="32"/>
        </w:rPr>
        <w:t>%；</w:t>
      </w:r>
    </w:p>
    <w:p>
      <w:pPr>
        <w:pStyle w:val="3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</w:rPr>
      </w:pP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宋体"/>
          <w:kern w:val="2"/>
          <w:sz w:val="32"/>
          <w:szCs w:val="32"/>
        </w:rPr>
        <w:t>、交通运输支出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4693</w:t>
      </w:r>
      <w:r>
        <w:rPr>
          <w:rFonts w:hint="eastAsia" w:ascii="仿宋" w:hAnsi="仿宋" w:eastAsia="仿宋" w:cs="宋体"/>
          <w:kern w:val="2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占上年决算（执行）数</w:t>
      </w:r>
      <w:r>
        <w:rPr>
          <w:rFonts w:hint="eastAsia" w:ascii="仿宋" w:hAnsi="仿宋" w:eastAsia="仿宋" w:cs="宋体"/>
          <w:kern w:val="2"/>
          <w:sz w:val="32"/>
          <w:szCs w:val="32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43.4</w:t>
      </w:r>
      <w:r>
        <w:rPr>
          <w:rFonts w:hint="eastAsia" w:ascii="仿宋" w:hAnsi="仿宋" w:eastAsia="仿宋" w:cs="宋体"/>
          <w:kern w:val="2"/>
          <w:sz w:val="32"/>
          <w:szCs w:val="32"/>
        </w:rPr>
        <w:t>%；</w:t>
      </w:r>
    </w:p>
    <w:p>
      <w:pPr>
        <w:pStyle w:val="3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</w:rPr>
      </w:pPr>
      <w:r>
        <w:rPr>
          <w:rFonts w:hint="eastAsia" w:ascii="仿宋" w:hAnsi="仿宋" w:eastAsia="仿宋" w:cs="宋体"/>
          <w:kern w:val="2"/>
          <w:sz w:val="32"/>
          <w:szCs w:val="32"/>
        </w:rPr>
        <w:t>1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宋体"/>
          <w:kern w:val="2"/>
          <w:sz w:val="32"/>
          <w:szCs w:val="32"/>
        </w:rPr>
        <w:t>、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资源勘探信息等事务支出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864万元；</w:t>
      </w:r>
    </w:p>
    <w:p>
      <w:pPr>
        <w:pStyle w:val="3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</w:rPr>
      </w:pP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14、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商业服务业</w:t>
      </w:r>
      <w:r>
        <w:rPr>
          <w:rFonts w:hint="eastAsia" w:ascii="仿宋" w:hAnsi="仿宋" w:eastAsia="仿宋" w:cs="宋体"/>
          <w:kern w:val="2"/>
          <w:sz w:val="32"/>
          <w:szCs w:val="32"/>
        </w:rPr>
        <w:t>支出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142</w:t>
      </w:r>
      <w:r>
        <w:rPr>
          <w:rFonts w:hint="eastAsia" w:ascii="仿宋" w:hAnsi="仿宋" w:eastAsia="仿宋" w:cs="宋体"/>
          <w:kern w:val="2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占上年决算（执行）数</w:t>
      </w:r>
      <w:r>
        <w:rPr>
          <w:rFonts w:hint="eastAsia" w:ascii="仿宋" w:hAnsi="仿宋" w:eastAsia="仿宋" w:cs="宋体"/>
          <w:kern w:val="2"/>
          <w:sz w:val="32"/>
          <w:szCs w:val="32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15.9</w:t>
      </w:r>
      <w:r>
        <w:rPr>
          <w:rFonts w:hint="eastAsia" w:ascii="仿宋" w:hAnsi="仿宋" w:eastAsia="仿宋" w:cs="宋体"/>
          <w:kern w:val="2"/>
          <w:sz w:val="32"/>
          <w:szCs w:val="32"/>
        </w:rPr>
        <w:t>%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；</w:t>
      </w:r>
    </w:p>
    <w:p>
      <w:pPr>
        <w:pStyle w:val="3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</w:rPr>
      </w:pPr>
      <w:r>
        <w:rPr>
          <w:rFonts w:hint="eastAsia" w:ascii="仿宋" w:hAnsi="仿宋" w:eastAsia="仿宋" w:cs="宋体"/>
          <w:kern w:val="2"/>
          <w:sz w:val="32"/>
          <w:szCs w:val="32"/>
        </w:rPr>
        <w:t>1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宋体"/>
          <w:kern w:val="2"/>
          <w:sz w:val="32"/>
          <w:szCs w:val="32"/>
        </w:rPr>
        <w:t>、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自然资源海洋气象等事务支出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1144万元，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占上年决算（执行）数</w:t>
      </w:r>
      <w:r>
        <w:rPr>
          <w:rFonts w:hint="eastAsia" w:ascii="仿宋" w:hAnsi="仿宋" w:eastAsia="仿宋" w:cs="宋体"/>
          <w:kern w:val="2"/>
          <w:sz w:val="32"/>
          <w:szCs w:val="32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82.7</w:t>
      </w:r>
      <w:r>
        <w:rPr>
          <w:rFonts w:hint="eastAsia" w:ascii="仿宋" w:hAnsi="仿宋" w:eastAsia="仿宋" w:cs="宋体"/>
          <w:kern w:val="2"/>
          <w:sz w:val="32"/>
          <w:szCs w:val="32"/>
        </w:rPr>
        <w:t>%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；</w:t>
      </w:r>
    </w:p>
    <w:p>
      <w:pPr>
        <w:pStyle w:val="3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</w:rPr>
      </w:pP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16、住房保障支出4451万元，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占上年决算（执行）数</w:t>
      </w:r>
      <w:r>
        <w:rPr>
          <w:rFonts w:hint="eastAsia" w:ascii="仿宋" w:hAnsi="仿宋" w:eastAsia="仿宋" w:cs="宋体"/>
          <w:kern w:val="2"/>
          <w:sz w:val="32"/>
          <w:szCs w:val="32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57.3</w:t>
      </w:r>
      <w:r>
        <w:rPr>
          <w:rFonts w:hint="eastAsia" w:ascii="仿宋" w:hAnsi="仿宋" w:eastAsia="仿宋" w:cs="宋体"/>
          <w:kern w:val="2"/>
          <w:sz w:val="32"/>
          <w:szCs w:val="32"/>
        </w:rPr>
        <w:t>%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；</w:t>
      </w:r>
    </w:p>
    <w:p>
      <w:pPr>
        <w:pStyle w:val="3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</w:rPr>
      </w:pP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17、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粮油物资储备</w:t>
      </w:r>
      <w:r>
        <w:rPr>
          <w:rFonts w:hint="eastAsia" w:ascii="仿宋" w:hAnsi="仿宋" w:eastAsia="仿宋" w:cs="宋体"/>
          <w:kern w:val="2"/>
          <w:sz w:val="32"/>
          <w:szCs w:val="32"/>
        </w:rPr>
        <w:t>支出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358</w:t>
      </w:r>
      <w:r>
        <w:rPr>
          <w:rFonts w:hint="eastAsia" w:ascii="仿宋" w:hAnsi="仿宋" w:eastAsia="仿宋" w:cs="宋体"/>
          <w:kern w:val="2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占上年决算（执行）数</w:t>
      </w:r>
      <w:r>
        <w:rPr>
          <w:rFonts w:hint="eastAsia" w:ascii="仿宋" w:hAnsi="仿宋" w:eastAsia="仿宋" w:cs="宋体"/>
          <w:kern w:val="2"/>
          <w:sz w:val="32"/>
          <w:szCs w:val="32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13.2</w:t>
      </w:r>
      <w:r>
        <w:rPr>
          <w:rFonts w:hint="eastAsia" w:ascii="仿宋" w:hAnsi="仿宋" w:eastAsia="仿宋" w:cs="宋体"/>
          <w:kern w:val="2"/>
          <w:sz w:val="32"/>
          <w:szCs w:val="32"/>
        </w:rPr>
        <w:t>%；</w:t>
      </w:r>
    </w:p>
    <w:p>
      <w:pPr>
        <w:pStyle w:val="3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1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宋体"/>
          <w:sz w:val="32"/>
          <w:szCs w:val="32"/>
        </w:rPr>
        <w:t>、</w:t>
      </w:r>
      <w:r>
        <w:rPr>
          <w:rFonts w:hint="eastAsia" w:ascii="仿宋" w:hAnsi="仿宋" w:eastAsia="仿宋" w:cs="宋体"/>
          <w:sz w:val="32"/>
          <w:szCs w:val="32"/>
          <w:lang w:eastAsia="zh-CN"/>
        </w:rPr>
        <w:t>灾害防治及应急管理支出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866万元，占上年决算（执行）数的93.6%</w:t>
      </w:r>
      <w:r>
        <w:rPr>
          <w:rFonts w:hint="eastAsia" w:ascii="仿宋" w:hAnsi="仿宋" w:eastAsia="仿宋" w:cs="宋体"/>
          <w:kern w:val="2"/>
          <w:sz w:val="32"/>
          <w:szCs w:val="32"/>
        </w:rPr>
        <w:t>；</w:t>
      </w:r>
    </w:p>
    <w:p>
      <w:pPr>
        <w:spacing w:line="600" w:lineRule="exact"/>
        <w:ind w:firstLine="480" w:firstLineChars="150"/>
        <w:rPr>
          <w:rFonts w:hint="eastAsia" w:ascii="仿宋" w:hAnsi="仿宋" w:eastAsia="仿宋" w:cs="宋体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17、</w:t>
      </w:r>
      <w:r>
        <w:rPr>
          <w:rFonts w:hint="eastAsia" w:ascii="仿宋" w:hAnsi="仿宋" w:eastAsia="仿宋" w:cs="宋体"/>
          <w:sz w:val="32"/>
          <w:szCs w:val="32"/>
        </w:rPr>
        <w:t>债务付息支出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5484</w:t>
      </w:r>
      <w:r>
        <w:rPr>
          <w:rFonts w:hint="eastAsia" w:ascii="仿宋" w:hAnsi="仿宋" w:eastAsia="仿宋" w:cs="宋体"/>
          <w:sz w:val="32"/>
          <w:szCs w:val="32"/>
        </w:rPr>
        <w:t>万元，</w:t>
      </w:r>
      <w:r>
        <w:rPr>
          <w:rFonts w:hint="eastAsia" w:ascii="仿宋" w:hAnsi="仿宋" w:eastAsia="仿宋" w:cs="宋体"/>
          <w:sz w:val="32"/>
          <w:szCs w:val="32"/>
          <w:lang w:eastAsia="zh-CN"/>
        </w:rPr>
        <w:t>占上年决算（执行）数</w:t>
      </w:r>
      <w:r>
        <w:rPr>
          <w:rFonts w:hint="eastAsia" w:ascii="仿宋" w:hAnsi="仿宋" w:eastAsia="仿宋" w:cs="宋体"/>
          <w:sz w:val="32"/>
          <w:szCs w:val="32"/>
        </w:rPr>
        <w:t>的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100.9</w:t>
      </w:r>
      <w:r>
        <w:rPr>
          <w:rFonts w:hint="eastAsia" w:ascii="仿宋" w:hAnsi="仿宋" w:eastAsia="仿宋" w:cs="宋体"/>
          <w:sz w:val="32"/>
          <w:szCs w:val="32"/>
        </w:rPr>
        <w:t>%</w:t>
      </w:r>
      <w:r>
        <w:rPr>
          <w:rFonts w:hint="eastAsia" w:ascii="仿宋" w:hAnsi="仿宋" w:eastAsia="仿宋" w:cs="宋体"/>
          <w:sz w:val="32"/>
          <w:szCs w:val="32"/>
          <w:lang w:eastAsia="zh-CN"/>
        </w:rPr>
        <w:t>。</w:t>
      </w:r>
    </w:p>
    <w:p>
      <w:pPr>
        <w:spacing w:line="600" w:lineRule="exact"/>
        <w:ind w:firstLine="480" w:firstLineChars="150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（二）上解支出</w:t>
      </w:r>
    </w:p>
    <w:p>
      <w:pPr>
        <w:pStyle w:val="6"/>
        <w:shd w:val="clear" w:color="auto" w:fill="FFFFFF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宋体"/>
          <w:kern w:val="2"/>
          <w:sz w:val="32"/>
          <w:szCs w:val="32"/>
          <w:lang w:val="en-US" w:eastAsia="zh-CN" w:bidi="ar-SA"/>
        </w:rPr>
        <w:t>2021年预计上解支出25620万元，主要为原体制上解2201万元，固定及基数性上解6263万元，其他省市税收分成、地税部门增量等各项上解17156万元。</w:t>
      </w:r>
    </w:p>
    <w:p>
      <w:pPr>
        <w:shd w:val="solid" w:color="FFFFFF" w:fill="auto"/>
        <w:autoSpaceDN w:val="0"/>
        <w:spacing w:line="330" w:lineRule="atLeast"/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color w:val="FF0000"/>
          <w:sz w:val="32"/>
          <w:szCs w:val="32"/>
          <w:shd w:val="clear" w:color="auto" w:fill="FFFFFF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5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楷体" w:hAnsi="楷体" w:eastAsia="楷体" w:cs="楷体"/>
          <w:b/>
          <w:bCs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shd w:val="clear" w:color="auto" w:fill="FFFFFF"/>
          <w:lang w:val="en-US" w:eastAsia="zh-CN"/>
        </w:rPr>
        <w:t xml:space="preserve">   孟州市市本级政府性基金预算收支情况说明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50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/>
          <w:b/>
          <w:bCs/>
          <w:color w:val="auto"/>
          <w:sz w:val="32"/>
          <w:szCs w:val="32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00" w:lineRule="exact"/>
        <w:ind w:left="0" w:leftChars="0" w:right="0" w:rightChars="0" w:firstLine="640" w:firstLineChars="200"/>
        <w:textAlignment w:val="auto"/>
        <w:outlineLvl w:val="9"/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lang w:val="en-US" w:eastAsia="zh-CN"/>
        </w:rPr>
        <w:t>一、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20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lang w:val="en-US" w:eastAsia="zh-CN"/>
        </w:rPr>
        <w:t>21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年政府性基金收入情况说明</w:t>
      </w:r>
    </w:p>
    <w:p>
      <w:pPr>
        <w:widowControl/>
        <w:autoSpaceDN w:val="0"/>
        <w:spacing w:line="560" w:lineRule="atLeast"/>
        <w:ind w:left="1" w:firstLine="640"/>
        <w:rPr>
          <w:rFonts w:hint="eastAsia" w:ascii="仿宋" w:hAnsi="仿宋" w:eastAsia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</w:rPr>
        <w:t>基金预算全口径收入安排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50255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万元，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eastAsia="zh-CN"/>
        </w:rPr>
        <w:t>较上年决算（执行数）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下降56.6%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，原因主要是：20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年上级债券转贷新增专项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eastAsia="zh-CN"/>
        </w:rPr>
        <w:t>债券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收入安排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56300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万元，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eastAsia="zh-CN"/>
        </w:rPr>
        <w:t>抗疫特别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国债9600万元，增加支出65900万元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。其中：</w:t>
      </w:r>
    </w:p>
    <w:p>
      <w:pPr>
        <w:widowControl/>
        <w:autoSpaceDN w:val="0"/>
        <w:spacing w:line="560" w:lineRule="atLeast"/>
        <w:ind w:firstLine="640" w:firstLineChars="200"/>
        <w:rPr>
          <w:rFonts w:hint="eastAsia" w:ascii="仿宋" w:hAnsi="仿宋" w:eastAsia="仿宋"/>
          <w:color w:val="auto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</w:rPr>
        <w:t>（一）地方级预算收入安排</w:t>
      </w: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lang w:val="en-US" w:eastAsia="zh-CN"/>
        </w:rPr>
        <w:t>43700</w:t>
      </w: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</w:rPr>
        <w:t>万元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，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eastAsia="zh-CN"/>
        </w:rPr>
        <w:t>较上年决算（执行数）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增长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1.8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%。主要收入项目是：</w:t>
      </w:r>
    </w:p>
    <w:p>
      <w:pPr>
        <w:widowControl/>
        <w:numPr>
          <w:ilvl w:val="0"/>
          <w:numId w:val="0"/>
        </w:numPr>
        <w:autoSpaceDN w:val="0"/>
        <w:spacing w:line="560" w:lineRule="atLeast"/>
        <w:ind w:left="641" w:leftChars="0"/>
        <w:rPr>
          <w:rFonts w:hint="eastAsia" w:ascii="仿宋" w:hAnsi="仿宋" w:eastAsia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1、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国有土地出让价款收入安排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41000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万元；</w:t>
      </w:r>
    </w:p>
    <w:p>
      <w:pPr>
        <w:widowControl/>
        <w:numPr>
          <w:ilvl w:val="0"/>
          <w:numId w:val="0"/>
        </w:numPr>
        <w:autoSpaceDN w:val="0"/>
        <w:spacing w:line="560" w:lineRule="atLeast"/>
        <w:ind w:left="641" w:leftChars="0"/>
        <w:rPr>
          <w:rFonts w:hint="eastAsia" w:ascii="仿宋" w:hAnsi="仿宋" w:eastAsia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2、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农业土地开发资金收入安排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500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万元；</w:t>
      </w:r>
    </w:p>
    <w:p>
      <w:pPr>
        <w:widowControl/>
        <w:numPr>
          <w:ilvl w:val="0"/>
          <w:numId w:val="0"/>
        </w:numPr>
        <w:autoSpaceDN w:val="0"/>
        <w:spacing w:line="560" w:lineRule="atLeast"/>
        <w:ind w:left="641" w:leftChars="0"/>
        <w:rPr>
          <w:rFonts w:hint="eastAsia" w:ascii="仿宋" w:hAnsi="仿宋" w:eastAsia="仿宋"/>
          <w:color w:val="auto"/>
          <w:kern w:val="0"/>
          <w:sz w:val="32"/>
          <w:szCs w:val="32"/>
          <w:lang w:val="en-US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3、城市基础设施配套费收入安排1500万元；</w:t>
      </w:r>
    </w:p>
    <w:p>
      <w:pPr>
        <w:widowControl/>
        <w:numPr>
          <w:ilvl w:val="0"/>
          <w:numId w:val="0"/>
        </w:numPr>
        <w:autoSpaceDN w:val="0"/>
        <w:spacing w:line="560" w:lineRule="atLeast"/>
        <w:ind w:left="641" w:leftChars="0"/>
        <w:rPr>
          <w:rFonts w:hint="eastAsia" w:ascii="仿宋" w:hAnsi="仿宋" w:eastAsia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4、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污水处理费收入安排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700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万元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eastAsia="zh-CN"/>
        </w:rPr>
        <w:t>。</w:t>
      </w:r>
    </w:p>
    <w:p>
      <w:pPr>
        <w:widowControl/>
        <w:autoSpaceDN w:val="0"/>
        <w:spacing w:line="560" w:lineRule="atLeast"/>
        <w:ind w:left="1" w:firstLine="640"/>
        <w:rPr>
          <w:rFonts w:hint="eastAsia" w:ascii="仿宋" w:hAnsi="仿宋" w:eastAsia="仿宋"/>
          <w:color w:val="auto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</w:rPr>
        <w:t>（二）上级提前告知转移支付补助收入</w:t>
      </w: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lang w:val="en-US" w:eastAsia="zh-CN"/>
        </w:rPr>
        <w:t>5398</w:t>
      </w: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</w:rPr>
        <w:t>万元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主要是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eastAsia="zh-CN"/>
        </w:rPr>
        <w:t>：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大中型水库移民后期扶持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4901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万元、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eastAsia="zh-CN"/>
        </w:rPr>
        <w:t>国有土地使用权出让金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215万元、水利移民扶持专项168万元、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彩票公益金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114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万元。</w:t>
      </w:r>
    </w:p>
    <w:p>
      <w:pPr>
        <w:widowControl/>
        <w:autoSpaceDN w:val="0"/>
        <w:spacing w:line="560" w:lineRule="atLeast"/>
        <w:ind w:left="1" w:firstLine="640"/>
        <w:rPr>
          <w:rFonts w:hint="eastAsia" w:ascii="仿宋" w:hAnsi="仿宋" w:eastAsia="仿宋"/>
          <w:b/>
          <w:bCs/>
          <w:color w:val="auto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</w:rPr>
        <w:t>（三）上年结转收入</w:t>
      </w: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lang w:val="en-US" w:eastAsia="zh-CN"/>
        </w:rPr>
        <w:t>1157</w:t>
      </w: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</w:rPr>
        <w:t>万元。</w:t>
      </w:r>
    </w:p>
    <w:p>
      <w:pPr>
        <w:widowControl/>
        <w:autoSpaceDN w:val="0"/>
        <w:spacing w:line="560" w:lineRule="atLeast"/>
        <w:ind w:left="1" w:firstLine="640"/>
        <w:rPr>
          <w:rFonts w:hint="eastAsia" w:ascii="黑体" w:hAnsi="黑体" w:eastAsia="黑体" w:cs="黑体"/>
          <w:b w:val="0"/>
          <w:bCs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auto"/>
          <w:kern w:val="0"/>
          <w:sz w:val="32"/>
          <w:szCs w:val="32"/>
          <w:lang w:eastAsia="zh-CN"/>
        </w:rPr>
        <w:t>二</w:t>
      </w:r>
      <w:r>
        <w:rPr>
          <w:rFonts w:hint="eastAsia" w:ascii="黑体" w:hAnsi="黑体" w:eastAsia="黑体" w:cs="黑体"/>
          <w:b w:val="0"/>
          <w:bCs/>
          <w:color w:val="auto"/>
          <w:kern w:val="0"/>
          <w:sz w:val="32"/>
          <w:szCs w:val="32"/>
        </w:rPr>
        <w:t>、20</w:t>
      </w:r>
      <w:r>
        <w:rPr>
          <w:rFonts w:hint="eastAsia" w:ascii="黑体" w:hAnsi="黑体" w:eastAsia="黑体" w:cs="黑体"/>
          <w:b w:val="0"/>
          <w:bCs/>
          <w:color w:val="auto"/>
          <w:kern w:val="0"/>
          <w:sz w:val="32"/>
          <w:szCs w:val="32"/>
          <w:lang w:val="en-US" w:eastAsia="zh-CN"/>
        </w:rPr>
        <w:t>21</w:t>
      </w:r>
      <w:r>
        <w:rPr>
          <w:rFonts w:hint="eastAsia" w:ascii="黑体" w:hAnsi="黑体" w:eastAsia="黑体" w:cs="黑体"/>
          <w:b w:val="0"/>
          <w:bCs/>
          <w:color w:val="auto"/>
          <w:kern w:val="0"/>
          <w:sz w:val="32"/>
          <w:szCs w:val="32"/>
        </w:rPr>
        <w:t>年政府性基金支出情况说明</w:t>
      </w:r>
    </w:p>
    <w:p>
      <w:pPr>
        <w:widowControl/>
        <w:autoSpaceDN w:val="0"/>
        <w:spacing w:line="560" w:lineRule="atLeast"/>
        <w:ind w:left="1" w:firstLine="624"/>
        <w:rPr>
          <w:rFonts w:hint="eastAsia" w:ascii="仿宋" w:hAnsi="仿宋" w:eastAsia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</w:rPr>
        <w:t>基金预算支出：20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21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年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eastAsia="zh-CN"/>
        </w:rPr>
        <w:t>政府性基金预算总支出安排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50255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万元，其中：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eastAsia="zh-CN"/>
        </w:rPr>
        <w:t>地方级支出安排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40650万元，</w:t>
      </w:r>
      <w:r>
        <w:rPr>
          <w:rFonts w:hint="eastAsia" w:ascii="仿宋" w:hAnsi="仿宋" w:eastAsia="仿宋" w:cs="宋体"/>
          <w:color w:val="auto"/>
          <w:kern w:val="2"/>
          <w:sz w:val="32"/>
          <w:szCs w:val="32"/>
          <w:lang w:eastAsia="zh-CN"/>
        </w:rPr>
        <w:t>占上年决算（执行）数的</w:t>
      </w:r>
      <w:r>
        <w:rPr>
          <w:rFonts w:hint="eastAsia" w:ascii="仿宋" w:hAnsi="仿宋" w:eastAsia="仿宋" w:cs="宋体"/>
          <w:color w:val="auto"/>
          <w:kern w:val="2"/>
          <w:sz w:val="32"/>
          <w:szCs w:val="32"/>
          <w:lang w:val="en-US" w:eastAsia="zh-CN"/>
        </w:rPr>
        <w:t>38.2</w:t>
      </w:r>
      <w:r>
        <w:rPr>
          <w:rFonts w:hint="eastAsia" w:ascii="仿宋" w:hAnsi="仿宋" w:eastAsia="仿宋" w:cs="宋体"/>
          <w:color w:val="auto"/>
          <w:kern w:val="2"/>
          <w:sz w:val="32"/>
          <w:szCs w:val="32"/>
        </w:rPr>
        <w:t>%</w:t>
      </w:r>
      <w:r>
        <w:rPr>
          <w:rFonts w:hint="eastAsia" w:ascii="仿宋" w:hAnsi="仿宋" w:eastAsia="仿宋" w:cs="宋体"/>
          <w:color w:val="auto"/>
          <w:kern w:val="2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宋体"/>
          <w:color w:val="auto"/>
          <w:kern w:val="2"/>
          <w:sz w:val="32"/>
          <w:szCs w:val="32"/>
        </w:rPr>
        <w:t>上解支出安排</w:t>
      </w:r>
      <w:r>
        <w:rPr>
          <w:rFonts w:hint="eastAsia" w:ascii="仿宋" w:hAnsi="仿宋" w:eastAsia="仿宋" w:cs="宋体"/>
          <w:color w:val="auto"/>
          <w:kern w:val="2"/>
          <w:sz w:val="32"/>
          <w:szCs w:val="32"/>
          <w:lang w:val="en-US" w:eastAsia="zh-CN"/>
        </w:rPr>
        <w:t>30</w:t>
      </w:r>
      <w:r>
        <w:rPr>
          <w:rFonts w:hint="eastAsia" w:ascii="仿宋" w:hAnsi="仿宋" w:eastAsia="仿宋" w:cs="宋体"/>
          <w:color w:val="auto"/>
          <w:kern w:val="2"/>
          <w:sz w:val="32"/>
          <w:szCs w:val="32"/>
        </w:rPr>
        <w:t>万元</w:t>
      </w:r>
      <w:r>
        <w:rPr>
          <w:rFonts w:hint="eastAsia" w:ascii="仿宋" w:hAnsi="仿宋" w:eastAsia="仿宋" w:cs="宋体"/>
          <w:color w:val="auto"/>
          <w:kern w:val="2"/>
          <w:sz w:val="32"/>
          <w:szCs w:val="32"/>
          <w:lang w:eastAsia="zh-CN"/>
        </w:rPr>
        <w:t>；调出资金</w:t>
      </w:r>
      <w:r>
        <w:rPr>
          <w:rFonts w:hint="eastAsia" w:ascii="仿宋" w:hAnsi="仿宋" w:eastAsia="仿宋" w:cs="宋体"/>
          <w:color w:val="auto"/>
          <w:kern w:val="2"/>
          <w:sz w:val="32"/>
          <w:szCs w:val="32"/>
          <w:lang w:val="en-US" w:eastAsia="zh-CN"/>
        </w:rPr>
        <w:t>6000万元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。主要支出科目是：</w:t>
      </w:r>
    </w:p>
    <w:p>
      <w:pPr>
        <w:widowControl/>
        <w:numPr>
          <w:ilvl w:val="0"/>
          <w:numId w:val="0"/>
        </w:numPr>
        <w:autoSpaceDN w:val="0"/>
        <w:spacing w:line="560" w:lineRule="atLeast"/>
        <w:rPr>
          <w:rFonts w:hint="eastAsia" w:ascii="仿宋" w:hAnsi="仿宋" w:eastAsia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 xml:space="preserve">    1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、社会保障和就业支出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4901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万元，主要用于大中型水库移民后期扶持。</w:t>
      </w:r>
    </w:p>
    <w:p>
      <w:pPr>
        <w:widowControl/>
        <w:autoSpaceDN w:val="0"/>
        <w:spacing w:line="560" w:lineRule="atLeast"/>
        <w:rPr>
          <w:rFonts w:hint="eastAsia" w:ascii="仿宋" w:hAnsi="仿宋" w:eastAsia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</w:rPr>
        <w:t xml:space="preserve">    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、城乡社区事务支出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31593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万元，主要用于：土地出让征地拆迁补偿、被征地农民、公共租赁住房、农业土地开发、污水处理费等项目。</w:t>
      </w:r>
    </w:p>
    <w:p>
      <w:pPr>
        <w:widowControl/>
        <w:autoSpaceDN w:val="0"/>
        <w:spacing w:line="560" w:lineRule="atLeast"/>
        <w:ind w:firstLine="660"/>
        <w:rPr>
          <w:rFonts w:hint="eastAsia" w:ascii="仿宋" w:hAnsi="仿宋" w:eastAsia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、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eastAsia="zh-CN"/>
        </w:rPr>
        <w:t>农林水支出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168万元，主要用于水利移民扶持项目。</w:t>
      </w:r>
    </w:p>
    <w:p>
      <w:pPr>
        <w:widowControl/>
        <w:autoSpaceDN w:val="0"/>
        <w:spacing w:line="560" w:lineRule="atLeast"/>
        <w:ind w:firstLine="660"/>
        <w:rPr>
          <w:rFonts w:hint="eastAsia" w:ascii="仿宋" w:hAnsi="仿宋" w:eastAsia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4、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其他支出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114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万元，主要用于：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eastAsia="zh-CN"/>
        </w:rPr>
        <w:t>社会福利、残疾人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事业。</w:t>
      </w:r>
    </w:p>
    <w:p>
      <w:pPr>
        <w:widowControl/>
        <w:autoSpaceDN w:val="0"/>
        <w:spacing w:line="560" w:lineRule="atLeast"/>
        <w:ind w:firstLine="660"/>
        <w:rPr>
          <w:rFonts w:hint="eastAsia" w:ascii="仿宋" w:hAnsi="仿宋" w:eastAsia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、债务付息支出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3874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万元。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before="0" w:beforeAutospacing="0" w:after="0" w:afterAutospacing="0" w:line="500" w:lineRule="exact"/>
        <w:ind w:left="0" w:leftChars="0"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FF0000"/>
          <w:sz w:val="32"/>
          <w:szCs w:val="32"/>
          <w:lang w:val="en-US" w:eastAsia="zh-CN"/>
        </w:rPr>
      </w:pP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before="0" w:beforeAutospacing="0" w:after="0" w:afterAutospacing="0" w:line="500" w:lineRule="exact"/>
        <w:ind w:left="0" w:leftChars="0"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before="0" w:beforeAutospacing="0" w:after="0" w:afterAutospacing="0" w:line="500" w:lineRule="exact"/>
        <w:ind w:left="0" w:leftChars="0" w:right="0" w:rightChars="0"/>
        <w:jc w:val="center"/>
        <w:textAlignment w:val="auto"/>
        <w:outlineLvl w:val="9"/>
        <w:rPr>
          <w:rFonts w:hint="eastAsia" w:ascii="楷体" w:hAnsi="楷体" w:eastAsia="楷体" w:cs="楷体"/>
          <w:b/>
          <w:bCs/>
          <w:color w:val="auto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val="en-US" w:eastAsia="zh-CN"/>
        </w:rPr>
        <w:t>第三章    孟州市市本级社会保险基金预算收支情况说明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/>
        <w:snapToGrid/>
        <w:spacing w:line="500" w:lineRule="exact"/>
        <w:ind w:left="0" w:leftChars="0" w:right="0" w:rightChars="0" w:firstLine="660"/>
        <w:jc w:val="left"/>
        <w:textAlignment w:val="auto"/>
        <w:outlineLvl w:val="9"/>
        <w:rPr>
          <w:rFonts w:hint="eastAsia" w:ascii="仿宋" w:hAnsi="仿宋" w:eastAsia="仿宋"/>
          <w:color w:val="FF0000"/>
          <w:sz w:val="32"/>
          <w:szCs w:val="32"/>
          <w:lang w:eastAsia="zh-CN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right="521"/>
        <w:jc w:val="left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 xml:space="preserve">    由于我市社会保险基金预算包含市本级和乡镇预算，未独立核算市本级社保基金预算，因此市本级暂未编制社保基金预算。</w:t>
      </w:r>
    </w:p>
    <w:p>
      <w:pPr>
        <w:kinsoku w:val="0"/>
        <w:overflowPunct w:val="0"/>
        <w:adjustRightInd w:val="0"/>
        <w:snapToGrid w:val="0"/>
        <w:spacing w:line="360" w:lineRule="auto"/>
        <w:ind w:right="521"/>
        <w:jc w:val="center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</w:pPr>
    </w:p>
    <w:p>
      <w:pPr>
        <w:numPr>
          <w:ilvl w:val="0"/>
          <w:numId w:val="4"/>
        </w:numPr>
        <w:kinsoku w:val="0"/>
        <w:overflowPunct w:val="0"/>
        <w:adjustRightInd w:val="0"/>
        <w:snapToGrid w:val="0"/>
        <w:spacing w:line="360" w:lineRule="auto"/>
        <w:ind w:right="521" w:rightChars="0"/>
        <w:jc w:val="center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 xml:space="preserve">   孟州市市本级国有资本经营预算收支情况说明</w:t>
      </w:r>
    </w:p>
    <w:p>
      <w:pPr>
        <w:numPr>
          <w:ilvl w:val="0"/>
          <w:numId w:val="0"/>
        </w:numPr>
        <w:kinsoku w:val="0"/>
        <w:overflowPunct w:val="0"/>
        <w:adjustRightInd w:val="0"/>
        <w:snapToGrid w:val="0"/>
        <w:spacing w:line="360" w:lineRule="auto"/>
        <w:ind w:right="521" w:rightChars="0"/>
        <w:jc w:val="both"/>
        <w:rPr>
          <w:rFonts w:hint="eastAsia" w:ascii="仿宋" w:hAnsi="仿宋" w:eastAsia="仿宋" w:cstheme="minorBidi"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theme="minorBidi"/>
          <w:color w:val="auto"/>
          <w:kern w:val="0"/>
          <w:sz w:val="32"/>
          <w:szCs w:val="32"/>
          <w:lang w:val="en-US" w:eastAsia="zh-CN" w:bidi="ar-SA"/>
        </w:rPr>
        <w:t xml:space="preserve">    2021年孟州市市本级国有资本经营预算收支均为9万元，上级转移支付收入为9万元，主要用于国有企业退休人员社会化管理补助支出。</w:t>
      </w:r>
    </w:p>
    <w:p>
      <w:pPr>
        <w:pStyle w:val="6"/>
        <w:shd w:val="clear" w:color="auto" w:fill="FFFFFF"/>
        <w:spacing w:before="0" w:beforeAutospacing="0" w:after="0" w:afterAutospacing="0"/>
        <w:ind w:firstLine="480"/>
        <w:jc w:val="both"/>
        <w:rPr>
          <w:rFonts w:hint="eastAsia" w:ascii="仿宋" w:hAnsi="仿宋" w:eastAsia="仿宋" w:cstheme="minorBidi"/>
          <w:color w:val="auto"/>
          <w:kern w:val="0"/>
          <w:sz w:val="32"/>
          <w:szCs w:val="32"/>
          <w:lang w:val="en-US" w:eastAsia="zh-CN" w:bidi="ar-SA"/>
        </w:rPr>
      </w:pPr>
    </w:p>
    <w:p>
      <w:pPr>
        <w:numPr>
          <w:ilvl w:val="0"/>
          <w:numId w:val="5"/>
        </w:numPr>
        <w:spacing w:line="600" w:lineRule="exact"/>
        <w:jc w:val="center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 xml:space="preserve">  孟州市市本级“三公”经费预算安排情况说明</w:t>
      </w:r>
    </w:p>
    <w:p>
      <w:pPr>
        <w:pStyle w:val="2"/>
        <w:numPr>
          <w:ilvl w:val="0"/>
          <w:numId w:val="0"/>
        </w:numPr>
        <w:ind w:leftChars="200" w:right="0" w:rightChars="0"/>
        <w:rPr>
          <w:rFonts w:hint="eastAsia"/>
          <w:lang w:eastAsia="zh-CN"/>
        </w:rPr>
      </w:pPr>
    </w:p>
    <w:p>
      <w:pPr>
        <w:shd w:val="solid" w:color="FFFFFF" w:fill="auto"/>
        <w:autoSpaceDN w:val="0"/>
        <w:spacing w:line="580" w:lineRule="atLeast"/>
        <w:ind w:firstLine="640"/>
        <w:rPr>
          <w:rFonts w:hint="eastAsia" w:ascii="仿宋" w:hAnsi="仿宋" w:eastAsia="仿宋"/>
          <w:color w:val="auto"/>
          <w:sz w:val="32"/>
          <w:szCs w:val="32"/>
          <w:shd w:val="clear" w:color="auto" w:fill="FFFFFF"/>
        </w:rPr>
      </w:pPr>
      <w:r>
        <w:rPr>
          <w:rFonts w:ascii="仿宋" w:hAnsi="仿宋" w:eastAsia="仿宋"/>
          <w:color w:val="auto"/>
          <w:sz w:val="32"/>
          <w:szCs w:val="32"/>
          <w:shd w:val="clear" w:color="auto" w:fill="FFFFFF"/>
        </w:rPr>
        <w:t>根据《河南省人民政府办公厅关于进一步深化全省部门预算改革的通知》（豫政办〔2011〕105号）要求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</w:rPr>
        <w:t>以及焦治办【2013】1号文的精神，以“厉行节约、降低行政成本”为原则，严格控制我市“三公”经费预决算数，同时予以公开，接收社会各界广泛监督。</w:t>
      </w:r>
    </w:p>
    <w:p>
      <w:pPr>
        <w:shd w:val="solid" w:color="FFFFFF" w:fill="auto"/>
        <w:autoSpaceDN w:val="0"/>
        <w:spacing w:line="330" w:lineRule="atLeast"/>
        <w:rPr>
          <w:rFonts w:ascii="仿宋" w:hAnsi="仿宋" w:eastAsia="仿宋"/>
          <w:color w:val="auto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  <w:t xml:space="preserve">  </w:t>
      </w:r>
      <w:r>
        <w:rPr>
          <w:rFonts w:ascii="仿宋" w:hAnsi="仿宋" w:eastAsia="仿宋"/>
          <w:color w:val="auto"/>
          <w:sz w:val="32"/>
          <w:szCs w:val="32"/>
          <w:shd w:val="clear" w:color="auto" w:fill="FFFFFF"/>
        </w:rPr>
        <w:t xml:space="preserve">   经汇总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eastAsia="zh-CN"/>
        </w:rPr>
        <w:t>市本级</w:t>
      </w:r>
      <w:r>
        <w:rPr>
          <w:rFonts w:ascii="仿宋" w:hAnsi="仿宋" w:eastAsia="仿宋"/>
          <w:color w:val="auto"/>
          <w:sz w:val="32"/>
          <w:szCs w:val="32"/>
          <w:shd w:val="clear" w:color="auto" w:fill="FFFFFF"/>
        </w:rPr>
        <w:t>部门预算，20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  <w:t>21</w:t>
      </w:r>
      <w:r>
        <w:rPr>
          <w:rFonts w:ascii="仿宋" w:hAnsi="仿宋" w:eastAsia="仿宋"/>
          <w:color w:val="auto"/>
          <w:sz w:val="32"/>
          <w:szCs w:val="32"/>
          <w:shd w:val="clear" w:color="auto" w:fill="FFFFFF"/>
        </w:rPr>
        <w:t>年一般公共预算安排“三公”经费支出预算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  <w:t>944</w:t>
      </w:r>
      <w:r>
        <w:rPr>
          <w:rFonts w:ascii="仿宋" w:hAnsi="仿宋" w:eastAsia="仿宋"/>
          <w:color w:val="auto"/>
          <w:sz w:val="32"/>
          <w:szCs w:val="32"/>
          <w:shd w:val="clear" w:color="auto" w:fill="FFFFFF"/>
        </w:rPr>
        <w:t>万元，比上年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eastAsia="zh-CN"/>
        </w:rPr>
        <w:t>下降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  <w:t>5.1</w:t>
      </w:r>
      <w:r>
        <w:rPr>
          <w:rFonts w:ascii="仿宋" w:hAnsi="仿宋" w:eastAsia="仿宋"/>
          <w:color w:val="auto"/>
          <w:sz w:val="32"/>
          <w:szCs w:val="32"/>
          <w:shd w:val="clear" w:color="auto" w:fill="FFFFFF"/>
        </w:rPr>
        <w:t>%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eastAsia="zh-CN"/>
        </w:rPr>
        <w:t>，减少支出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  <w:t>51</w:t>
      </w:r>
      <w:r>
        <w:rPr>
          <w:rFonts w:ascii="仿宋" w:hAnsi="仿宋" w:eastAsia="仿宋"/>
          <w:color w:val="auto"/>
          <w:sz w:val="32"/>
          <w:szCs w:val="32"/>
          <w:shd w:val="clear" w:color="auto" w:fill="FFFFFF"/>
        </w:rPr>
        <w:t>万元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eastAsia="zh-CN"/>
        </w:rPr>
        <w:t>。</w:t>
      </w:r>
      <w:r>
        <w:rPr>
          <w:rFonts w:ascii="仿宋" w:hAnsi="仿宋" w:eastAsia="仿宋"/>
          <w:color w:val="auto"/>
          <w:sz w:val="32"/>
          <w:szCs w:val="32"/>
          <w:shd w:val="clear" w:color="auto" w:fill="FFFFFF"/>
        </w:rPr>
        <w:t>其中：</w:t>
      </w:r>
    </w:p>
    <w:p>
      <w:pPr>
        <w:shd w:val="solid" w:color="FFFFFF" w:fill="auto"/>
        <w:autoSpaceDN w:val="0"/>
        <w:spacing w:line="330" w:lineRule="atLeast"/>
        <w:ind w:firstLine="640"/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  <w:t>因公出国（境）费0万元，与2020年持平。</w:t>
      </w:r>
    </w:p>
    <w:p>
      <w:pPr>
        <w:shd w:val="solid" w:color="FFFFFF" w:fill="auto"/>
        <w:autoSpaceDN w:val="0"/>
        <w:spacing w:line="330" w:lineRule="atLeast"/>
        <w:ind w:firstLine="640"/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  <w:t>公务接待安排357万元，比2020年下降0.8%，减少支出3万元，下降主要原因是严格执行八项规定，压缩公务活动接待。</w:t>
      </w:r>
    </w:p>
    <w:p>
      <w:pPr>
        <w:shd w:val="solid" w:color="FFFFFF" w:fill="auto"/>
        <w:autoSpaceDN w:val="0"/>
        <w:spacing w:line="330" w:lineRule="atLeast"/>
        <w:ind w:firstLine="640"/>
        <w:rPr>
          <w:rFonts w:ascii="仿宋" w:hAnsi="仿宋" w:eastAsia="仿宋"/>
          <w:color w:val="auto"/>
          <w:sz w:val="32"/>
          <w:szCs w:val="32"/>
          <w:shd w:val="clear" w:color="auto" w:fill="FFFFFF"/>
        </w:rPr>
      </w:pPr>
      <w:r>
        <w:rPr>
          <w:rFonts w:ascii="仿宋" w:hAnsi="仿宋" w:eastAsia="仿宋"/>
          <w:color w:val="auto"/>
          <w:sz w:val="32"/>
          <w:szCs w:val="32"/>
          <w:shd w:val="clear" w:color="auto" w:fill="FFFFFF"/>
        </w:rPr>
        <w:t>公务用车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eastAsia="zh-CN"/>
        </w:rPr>
        <w:t>购置及运行费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  <w:t>587万元，比2020年下降7.6%,减少支出48万元。其中：车辆购置298万元，比2020年下降3.6%，减少支出11万元,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eastAsia="zh-CN"/>
        </w:rPr>
        <w:t>原因是车改以来，按照公车购置规定，车辆老化需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  <w:t>更新购置公务用车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eastAsia="zh-CN"/>
        </w:rPr>
        <w:t>；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  <w:t>公务用车</w:t>
      </w:r>
      <w:r>
        <w:rPr>
          <w:rFonts w:ascii="仿宋" w:hAnsi="仿宋" w:eastAsia="仿宋"/>
          <w:color w:val="auto"/>
          <w:sz w:val="32"/>
          <w:szCs w:val="32"/>
          <w:shd w:val="clear" w:color="auto" w:fill="FFFFFF"/>
        </w:rPr>
        <w:t>运行维护费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  <w:t>289</w:t>
      </w:r>
      <w:r>
        <w:rPr>
          <w:rFonts w:ascii="仿宋" w:hAnsi="仿宋" w:eastAsia="仿宋"/>
          <w:color w:val="auto"/>
          <w:sz w:val="32"/>
          <w:szCs w:val="32"/>
          <w:shd w:val="clear" w:color="auto" w:fill="FFFFFF"/>
        </w:rPr>
        <w:t>万元，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eastAsia="zh-CN"/>
        </w:rPr>
        <w:t>比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  <w:t>2020年</w:t>
      </w:r>
      <w:r>
        <w:rPr>
          <w:rFonts w:ascii="仿宋" w:hAnsi="仿宋" w:eastAsia="仿宋"/>
          <w:color w:val="auto"/>
          <w:sz w:val="32"/>
          <w:szCs w:val="32"/>
          <w:shd w:val="clear" w:color="auto" w:fill="FFFFFF"/>
        </w:rPr>
        <w:t>下降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  <w:t>11.3</w:t>
      </w:r>
      <w:r>
        <w:rPr>
          <w:rFonts w:ascii="仿宋" w:hAnsi="仿宋" w:eastAsia="仿宋"/>
          <w:color w:val="auto"/>
          <w:sz w:val="32"/>
          <w:szCs w:val="32"/>
          <w:shd w:val="clear" w:color="auto" w:fill="FFFFFF"/>
        </w:rPr>
        <w:t>%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  <w:t>,减少支出37万元，主要原因是严格控制使用公务用车</w:t>
      </w:r>
      <w:r>
        <w:rPr>
          <w:rFonts w:ascii="仿宋" w:hAnsi="仿宋" w:eastAsia="仿宋"/>
          <w:color w:val="auto"/>
          <w:sz w:val="32"/>
          <w:szCs w:val="32"/>
          <w:shd w:val="clear" w:color="auto" w:fill="FFFFFF"/>
        </w:rPr>
        <w:t>。</w:t>
      </w:r>
    </w:p>
    <w:p>
      <w:pPr>
        <w:pStyle w:val="2"/>
        <w:rPr>
          <w:rFonts w:ascii="仿宋" w:hAnsi="仿宋" w:eastAsia="仿宋"/>
          <w:color w:val="auto"/>
          <w:sz w:val="32"/>
          <w:szCs w:val="32"/>
          <w:shd w:val="clear" w:color="auto" w:fill="FFFFFF"/>
        </w:rPr>
      </w:pPr>
    </w:p>
    <w:p>
      <w:pPr>
        <w:numPr>
          <w:ilvl w:val="0"/>
          <w:numId w:val="5"/>
        </w:numPr>
        <w:spacing w:line="600" w:lineRule="exact"/>
        <w:jc w:val="center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 xml:space="preserve">  孟州市市本级债务情况说明</w:t>
      </w: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numPr>
          <w:ilvl w:val="0"/>
          <w:numId w:val="0"/>
        </w:numPr>
        <w:ind w:right="0" w:righ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截止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2020年末，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我</w:t>
      </w:r>
      <w:r>
        <w:rPr>
          <w:rFonts w:hint="eastAsia" w:ascii="仿宋" w:hAnsi="仿宋" w:eastAsia="仿宋" w:cs="仿宋"/>
          <w:sz w:val="32"/>
          <w:szCs w:val="32"/>
        </w:rPr>
        <w:t>市政府债务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总</w:t>
      </w:r>
      <w:r>
        <w:rPr>
          <w:rFonts w:hint="eastAsia" w:ascii="仿宋" w:hAnsi="仿宋" w:eastAsia="仿宋" w:cs="仿宋"/>
          <w:sz w:val="32"/>
          <w:szCs w:val="32"/>
        </w:rPr>
        <w:t>限额为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314593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</w:t>
      </w:r>
      <w:r>
        <w:rPr>
          <w:rFonts w:hint="eastAsia" w:ascii="仿宋" w:hAnsi="仿宋" w:eastAsia="仿宋" w:cs="仿宋"/>
          <w:sz w:val="32"/>
          <w:szCs w:val="32"/>
        </w:rPr>
        <w:t>元，其中：一般债务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限额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202993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</w:t>
      </w:r>
      <w:r>
        <w:rPr>
          <w:rFonts w:hint="eastAsia" w:ascii="仿宋" w:hAnsi="仿宋" w:eastAsia="仿宋" w:cs="仿宋"/>
          <w:sz w:val="32"/>
          <w:szCs w:val="32"/>
        </w:rPr>
        <w:t>元，专项债务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限额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111600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</w:t>
      </w:r>
      <w:r>
        <w:rPr>
          <w:rFonts w:hint="eastAsia" w:ascii="仿宋" w:hAnsi="仿宋" w:eastAsia="仿宋" w:cs="仿宋"/>
          <w:sz w:val="32"/>
          <w:szCs w:val="32"/>
        </w:rPr>
        <w:t>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sz w:val="32"/>
          <w:szCs w:val="32"/>
        </w:rPr>
        <w:t>我市地方政府性债务总规模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268677万</w:t>
      </w:r>
      <w:r>
        <w:rPr>
          <w:rFonts w:hint="eastAsia" w:ascii="仿宋" w:hAnsi="仿宋" w:eastAsia="仿宋" w:cs="仿宋"/>
          <w:sz w:val="32"/>
          <w:szCs w:val="32"/>
        </w:rPr>
        <w:t>元，其中一般债务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167188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</w:t>
      </w:r>
      <w:r>
        <w:rPr>
          <w:rFonts w:hint="eastAsia" w:ascii="仿宋" w:hAnsi="仿宋" w:eastAsia="仿宋" w:cs="仿宋"/>
          <w:sz w:val="32"/>
          <w:szCs w:val="32"/>
        </w:rPr>
        <w:t>元，专项债务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101489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</w:t>
      </w:r>
      <w:r>
        <w:rPr>
          <w:rFonts w:hint="eastAsia" w:ascii="仿宋" w:hAnsi="仿宋" w:eastAsia="仿宋" w:cs="仿宋"/>
          <w:sz w:val="32"/>
          <w:szCs w:val="32"/>
        </w:rPr>
        <w:t>元。综上所述，我市地方债务规模严格控制在规定限额之内。</w:t>
      </w:r>
    </w:p>
    <w:p>
      <w:pPr>
        <w:shd w:val="solid" w:color="FFFFFF" w:fill="auto"/>
        <w:autoSpaceDN w:val="0"/>
        <w:spacing w:line="330" w:lineRule="atLeast"/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一、一般债务限额余额情况说明</w:t>
      </w:r>
    </w:p>
    <w:p>
      <w:pPr>
        <w:shd w:val="solid" w:color="FFFFFF" w:fill="auto"/>
        <w:autoSpaceDN w:val="0"/>
        <w:spacing w:line="330" w:lineRule="atLeast"/>
        <w:rPr>
          <w:rFonts w:hint="eastAsia" w:ascii="仿宋" w:hAnsi="仿宋" w:eastAsia="仿宋"/>
          <w:b/>
          <w:bCs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仿宋" w:hAnsi="仿宋" w:eastAsia="仿宋"/>
          <w:b/>
          <w:bCs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 xml:space="preserve">     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1、2020年末一般债务限额情况</w:t>
      </w:r>
      <w:r>
        <w:rPr>
          <w:rFonts w:hint="eastAsia" w:ascii="仿宋" w:hAnsi="仿宋" w:eastAsia="仿宋"/>
          <w:b/>
          <w:bCs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 xml:space="preserve">  </w:t>
      </w:r>
    </w:p>
    <w:p>
      <w:pPr>
        <w:shd w:val="solid" w:color="FFFFFF" w:fill="auto"/>
        <w:autoSpaceDN w:val="0"/>
        <w:spacing w:line="330" w:lineRule="atLeast"/>
        <w:ind w:firstLine="642"/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201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年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末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上级核定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我市一般债务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总限额为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199193万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元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，加上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2020年当年新增一般债务限额3800万元，2020年末我市一般债务限额为202993万元。</w:t>
      </w:r>
    </w:p>
    <w:p>
      <w:pPr>
        <w:shd w:val="solid" w:color="FFFFFF" w:fill="auto"/>
        <w:autoSpaceDN w:val="0"/>
        <w:spacing w:line="330" w:lineRule="atLeast"/>
        <w:ind w:firstLine="642"/>
        <w:rPr>
          <w:rFonts w:hint="eastAsia" w:ascii="仿宋" w:hAnsi="仿宋" w:eastAsia="仿宋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highlight w:val="none"/>
          <w:lang w:val="en-US" w:eastAsia="zh-CN"/>
        </w:rPr>
        <w:t>2、2020年末一般债务余额情况</w:t>
      </w:r>
    </w:p>
    <w:p>
      <w:pPr>
        <w:shd w:val="solid" w:color="FFFFFF" w:fill="auto"/>
        <w:autoSpaceDN w:val="0"/>
        <w:spacing w:line="330" w:lineRule="atLeast"/>
        <w:ind w:firstLine="642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201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年末我市地方政府性一般债务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余额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163445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万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元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，加上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2020年当年新增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一般债券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16275万元，减去2020年一般债务还本支出12532万元，2020年末我市一般债务余额为167188万元。我市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地方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一般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债务规模严格控制在规定限额之内。</w:t>
      </w:r>
    </w:p>
    <w:p>
      <w:pPr>
        <w:widowControl/>
        <w:autoSpaceDN w:val="0"/>
        <w:spacing w:line="560" w:lineRule="atLeast"/>
        <w:rPr>
          <w:rFonts w:hint="eastAsia" w:ascii="仿宋" w:hAnsi="仿宋" w:eastAsia="仿宋"/>
          <w:b w:val="0"/>
          <w:bCs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eastAsia="zh-CN"/>
        </w:rPr>
        <w:t>二、</w:t>
      </w: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  <w:lang w:val="en-US" w:eastAsia="zh-CN"/>
        </w:rPr>
        <w:t>专项债务限额和余额情况说明</w:t>
      </w:r>
    </w:p>
    <w:p>
      <w:pPr>
        <w:shd w:val="solid" w:color="FFFFFF" w:fill="auto"/>
        <w:autoSpaceDN w:val="0"/>
        <w:spacing w:line="330" w:lineRule="atLeast"/>
        <w:rPr>
          <w:rFonts w:hint="eastAsia" w:ascii="仿宋" w:hAnsi="仿宋" w:eastAsia="仿宋"/>
          <w:b/>
          <w:bCs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/>
          <w:b/>
          <w:bCs/>
          <w:color w:val="auto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/>
          <w:b/>
          <w:bCs/>
          <w:color w:val="auto"/>
          <w:sz w:val="32"/>
          <w:szCs w:val="32"/>
          <w:shd w:val="clear" w:color="auto" w:fill="FFFFFF"/>
          <w:lang w:val="en-US" w:eastAsia="zh-CN"/>
        </w:rPr>
        <w:t xml:space="preserve"> 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shd w:val="clear" w:color="auto" w:fill="FFFFFF"/>
          <w:lang w:val="en-US" w:eastAsia="zh-CN"/>
        </w:rPr>
        <w:t>1、2020年末专项债务限额情况</w:t>
      </w:r>
      <w:r>
        <w:rPr>
          <w:rFonts w:hint="eastAsia" w:ascii="仿宋" w:hAnsi="仿宋" w:eastAsia="仿宋"/>
          <w:b/>
          <w:bCs/>
          <w:color w:val="auto"/>
          <w:sz w:val="32"/>
          <w:szCs w:val="32"/>
          <w:shd w:val="clear" w:color="auto" w:fill="FFFFFF"/>
          <w:lang w:val="en-US" w:eastAsia="zh-CN"/>
        </w:rPr>
        <w:t xml:space="preserve">  </w:t>
      </w:r>
    </w:p>
    <w:p>
      <w:pPr>
        <w:shd w:val="solid" w:color="FFFFFF" w:fill="auto"/>
        <w:autoSpaceDN w:val="0"/>
        <w:spacing w:line="330" w:lineRule="atLeast"/>
        <w:ind w:firstLine="642"/>
        <w:rPr>
          <w:rFonts w:hint="eastAsia" w:ascii="仿宋" w:hAnsi="仿宋" w:eastAsia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</w:rPr>
        <w:t>201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</w:rPr>
        <w:t>年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lang w:eastAsia="zh-CN"/>
        </w:rPr>
        <w:t>末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shd w:val="clear" w:color="auto" w:fill="FFFFFF"/>
          <w:lang w:val="en-US" w:eastAsia="zh-CN"/>
        </w:rPr>
        <w:t>上级核定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</w:rPr>
        <w:t>我市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lang w:eastAsia="zh-CN"/>
        </w:rPr>
        <w:t>专项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</w:rPr>
        <w:t>债务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lang w:eastAsia="zh-CN"/>
        </w:rPr>
        <w:t>总限额为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lang w:val="en-US" w:eastAsia="zh-CN"/>
        </w:rPr>
        <w:t>55300万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</w:rPr>
        <w:t>元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lang w:eastAsia="zh-CN"/>
        </w:rPr>
        <w:t>，加上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lang w:val="en-US" w:eastAsia="zh-CN"/>
        </w:rPr>
        <w:t>2020年当年新增专项债务限额56300万元，2020年末我市专项债务限额为111600万元。</w:t>
      </w:r>
    </w:p>
    <w:p>
      <w:pPr>
        <w:shd w:val="solid" w:color="FFFFFF" w:fill="auto"/>
        <w:autoSpaceDN w:val="0"/>
        <w:spacing w:line="330" w:lineRule="atLeast"/>
        <w:ind w:firstLine="642"/>
        <w:rPr>
          <w:rFonts w:hint="eastAsia" w:ascii="楷体" w:hAnsi="楷体" w:eastAsia="楷体" w:cs="楷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val="en-US" w:eastAsia="zh-CN"/>
        </w:rPr>
        <w:t>2、2020年末专项债务余额情况</w:t>
      </w:r>
    </w:p>
    <w:p>
      <w:pPr>
        <w:pStyle w:val="2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201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/>
          <w:color w:val="auto"/>
          <w:sz w:val="32"/>
          <w:szCs w:val="32"/>
        </w:rPr>
        <w:t>年末我市地方政府性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专项</w:t>
      </w:r>
      <w:r>
        <w:rPr>
          <w:rFonts w:hint="eastAsia" w:ascii="仿宋" w:hAnsi="仿宋" w:eastAsia="仿宋"/>
          <w:color w:val="auto"/>
          <w:sz w:val="32"/>
          <w:szCs w:val="32"/>
        </w:rPr>
        <w:t>债务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余额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52815</w:t>
      </w:r>
      <w:r>
        <w:rPr>
          <w:rFonts w:hint="eastAsia" w:ascii="仿宋" w:hAnsi="仿宋" w:eastAsia="仿宋"/>
          <w:color w:val="auto"/>
          <w:sz w:val="32"/>
          <w:szCs w:val="32"/>
        </w:rPr>
        <w:t>元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，加上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2020年当年新增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专项债券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56300万元，减去当年还本支出7626万元，2020年末专项债务余额为101489元。我市</w:t>
      </w:r>
      <w:r>
        <w:rPr>
          <w:rFonts w:hint="eastAsia" w:ascii="仿宋" w:hAnsi="仿宋" w:eastAsia="仿宋"/>
          <w:color w:val="auto"/>
          <w:sz w:val="32"/>
          <w:szCs w:val="32"/>
        </w:rPr>
        <w:t>地方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政府专项</w:t>
      </w:r>
      <w:r>
        <w:rPr>
          <w:rFonts w:hint="eastAsia" w:ascii="仿宋" w:hAnsi="仿宋" w:eastAsia="仿宋"/>
          <w:color w:val="auto"/>
          <w:sz w:val="32"/>
          <w:szCs w:val="32"/>
        </w:rPr>
        <w:t>债务规模严格控制在规定限额之内。</w:t>
      </w:r>
    </w:p>
    <w:p>
      <w:pPr>
        <w:pStyle w:val="2"/>
        <w:rPr>
          <w:rFonts w:hint="eastAsia" w:ascii="仿宋" w:hAnsi="仿宋" w:eastAsia="仿宋"/>
          <w:color w:val="auto"/>
          <w:sz w:val="32"/>
          <w:szCs w:val="32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right="521"/>
        <w:jc w:val="center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第七章    孟州市市本级政府预算公开附表</w:t>
      </w:r>
    </w:p>
    <w:p>
      <w:pPr>
        <w:keepNext w:val="0"/>
        <w:keepLines w:val="0"/>
        <w:pageBreakBefore w:val="0"/>
        <w:wordWrap/>
        <w:topLinePunct w:val="0"/>
        <w:autoSpaceDE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宋体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lang w:eastAsia="zh-CN"/>
        </w:rPr>
        <w:t>表一：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2021年孟州市市本级一般公共预算收支情况总表</w:t>
      </w:r>
    </w:p>
    <w:p>
      <w:pPr>
        <w:keepNext w:val="0"/>
        <w:keepLines w:val="0"/>
        <w:pageBreakBefore w:val="0"/>
        <w:wordWrap/>
        <w:topLinePunct w:val="0"/>
        <w:autoSpaceDE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宋体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表二：2021年孟州市市本级一般公共预算收入情况表</w:t>
      </w:r>
    </w:p>
    <w:p>
      <w:pPr>
        <w:keepNext w:val="0"/>
        <w:keepLines w:val="0"/>
        <w:pageBreakBefore w:val="0"/>
        <w:wordWrap/>
        <w:topLinePunct w:val="0"/>
        <w:autoSpaceDE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宋体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表三：2021年孟州市市本级一般公共预算支出情况表</w:t>
      </w:r>
    </w:p>
    <w:p>
      <w:pPr>
        <w:keepNext w:val="0"/>
        <w:keepLines w:val="0"/>
        <w:pageBreakBefore w:val="0"/>
        <w:wordWrap/>
        <w:topLinePunct w:val="0"/>
        <w:autoSpaceDE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宋体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表四：2021年孟州市市本级一般公共预算支出明细表</w:t>
      </w:r>
    </w:p>
    <w:p>
      <w:pPr>
        <w:keepNext w:val="0"/>
        <w:keepLines w:val="0"/>
        <w:pageBreakBefore w:val="0"/>
        <w:wordWrap/>
        <w:topLinePunct w:val="0"/>
        <w:autoSpaceDE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宋体"/>
          <w:sz w:val="30"/>
          <w:szCs w:val="30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表五：</w:t>
      </w:r>
      <w:r>
        <w:rPr>
          <w:rFonts w:hint="eastAsia" w:ascii="仿宋" w:hAnsi="仿宋" w:eastAsia="仿宋" w:cs="宋体"/>
          <w:sz w:val="30"/>
          <w:szCs w:val="30"/>
          <w:lang w:val="en-US" w:eastAsia="zh-CN"/>
        </w:rPr>
        <w:t>2021年孟州市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市本级</w:t>
      </w:r>
      <w:r>
        <w:rPr>
          <w:rFonts w:hint="eastAsia" w:ascii="仿宋" w:hAnsi="仿宋" w:eastAsia="仿宋" w:cs="宋体"/>
          <w:sz w:val="30"/>
          <w:szCs w:val="30"/>
          <w:lang w:val="en-US" w:eastAsia="zh-CN"/>
        </w:rPr>
        <w:t>基本支出政府经济分类明细表</w:t>
      </w:r>
    </w:p>
    <w:p>
      <w:pPr>
        <w:keepNext w:val="0"/>
        <w:keepLines w:val="0"/>
        <w:pageBreakBefore w:val="0"/>
        <w:wordWrap/>
        <w:topLinePunct w:val="0"/>
        <w:autoSpaceDE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宋体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表六：2021年孟州市市本级一般公共预算收入返还和转移支付情况表</w:t>
      </w:r>
    </w:p>
    <w:p>
      <w:pPr>
        <w:keepNext w:val="0"/>
        <w:keepLines w:val="0"/>
        <w:pageBreakBefore w:val="0"/>
        <w:widowControl/>
        <w:wordWrap/>
        <w:topLinePunct w:val="0"/>
        <w:autoSpaceDE/>
        <w:autoSpaceDN w:val="0"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表七:  2021年孟州市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市本级</w:t>
      </w: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政府性基金预算收支总表</w:t>
      </w:r>
    </w:p>
    <w:p>
      <w:pPr>
        <w:keepNext w:val="0"/>
        <w:keepLines w:val="0"/>
        <w:pageBreakBefore w:val="0"/>
        <w:widowControl/>
        <w:wordWrap/>
        <w:topLinePunct w:val="0"/>
        <w:autoSpaceDE/>
        <w:autoSpaceDN w:val="0"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表八：</w:t>
      </w: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 xml:space="preserve"> </w:t>
      </w: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2021年孟州市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市本级</w:t>
      </w: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政府性基金预算收入总表</w:t>
      </w:r>
    </w:p>
    <w:p>
      <w:pPr>
        <w:keepNext w:val="0"/>
        <w:keepLines w:val="0"/>
        <w:pageBreakBefore w:val="0"/>
        <w:widowControl/>
        <w:wordWrap/>
        <w:topLinePunct w:val="0"/>
        <w:autoSpaceDE/>
        <w:autoSpaceDN w:val="0"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表九:  2021年孟州市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市本级</w:t>
      </w: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政府性基金预算支出总表</w:t>
      </w:r>
    </w:p>
    <w:p>
      <w:pPr>
        <w:keepNext w:val="0"/>
        <w:keepLines w:val="0"/>
        <w:pageBreakBefore w:val="0"/>
        <w:widowControl/>
        <w:wordWrap/>
        <w:topLinePunct w:val="0"/>
        <w:autoSpaceDE/>
        <w:autoSpaceDN w:val="0"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表十：</w:t>
      </w: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 xml:space="preserve"> </w:t>
      </w: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2021年孟州市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市本级</w:t>
      </w: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政府性基金预算转移支付情况表</w:t>
      </w:r>
    </w:p>
    <w:p>
      <w:pPr>
        <w:keepNext w:val="0"/>
        <w:keepLines w:val="0"/>
        <w:pageBreakBefore w:val="0"/>
        <w:wordWrap/>
        <w:topLinePunct w:val="0"/>
        <w:autoSpaceDE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theme="minorBidi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theme="minorBidi"/>
          <w:color w:val="000000"/>
          <w:kern w:val="0"/>
          <w:sz w:val="32"/>
          <w:szCs w:val="32"/>
          <w:lang w:val="en-US" w:eastAsia="zh-CN" w:bidi="ar-SA"/>
        </w:rPr>
        <w:t>表十一：2021年孟州市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市本级</w:t>
      </w:r>
      <w:r>
        <w:rPr>
          <w:rFonts w:hint="eastAsia" w:ascii="仿宋" w:hAnsi="仿宋" w:eastAsia="仿宋" w:cstheme="minorBidi"/>
          <w:color w:val="000000"/>
          <w:kern w:val="0"/>
          <w:sz w:val="32"/>
          <w:szCs w:val="32"/>
          <w:lang w:val="en-US" w:eastAsia="zh-CN" w:bidi="ar-SA"/>
        </w:rPr>
        <w:t>社会保险基金收入预算表</w:t>
      </w:r>
    </w:p>
    <w:p>
      <w:pPr>
        <w:keepNext w:val="0"/>
        <w:keepLines w:val="0"/>
        <w:pageBreakBefore w:val="0"/>
        <w:wordWrap/>
        <w:topLinePunct w:val="0"/>
        <w:autoSpaceDE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theme="minorBidi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theme="minorBidi"/>
          <w:color w:val="000000"/>
          <w:kern w:val="0"/>
          <w:sz w:val="32"/>
          <w:szCs w:val="32"/>
          <w:lang w:val="en-US" w:eastAsia="zh-CN" w:bidi="ar-SA"/>
        </w:rPr>
        <w:t>表十二：2021年孟州市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市本级</w:t>
      </w:r>
      <w:r>
        <w:rPr>
          <w:rFonts w:hint="eastAsia" w:ascii="仿宋" w:hAnsi="仿宋" w:eastAsia="仿宋" w:cstheme="minorBidi"/>
          <w:color w:val="000000"/>
          <w:kern w:val="0"/>
          <w:sz w:val="32"/>
          <w:szCs w:val="32"/>
          <w:lang w:val="en-US" w:eastAsia="zh-CN" w:bidi="ar-SA"/>
        </w:rPr>
        <w:t>社会保险基金支出预算表</w:t>
      </w:r>
    </w:p>
    <w:p>
      <w:pPr>
        <w:keepNext w:val="0"/>
        <w:keepLines w:val="0"/>
        <w:pageBreakBefore w:val="0"/>
        <w:widowControl/>
        <w:wordWrap/>
        <w:topLinePunct w:val="0"/>
        <w:autoSpaceDE/>
        <w:autoSpaceDN w:val="0"/>
        <w:bidi w:val="0"/>
        <w:spacing w:line="600" w:lineRule="exact"/>
        <w:ind w:left="1" w:firstLine="640" w:firstLineChars="200"/>
        <w:jc w:val="both"/>
        <w:textAlignment w:val="auto"/>
        <w:outlineLvl w:val="9"/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表十三：2021年孟州市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市本级</w:t>
      </w: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国有资本经营预算收入情况表</w:t>
      </w:r>
    </w:p>
    <w:p>
      <w:pPr>
        <w:keepNext w:val="0"/>
        <w:keepLines w:val="0"/>
        <w:pageBreakBefore w:val="0"/>
        <w:wordWrap/>
        <w:topLinePunct w:val="0"/>
        <w:autoSpaceDE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表十四：2021年孟州市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市本级</w:t>
      </w: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国有资本经营预算支出情况表</w:t>
      </w:r>
    </w:p>
    <w:p>
      <w:pPr>
        <w:pStyle w:val="2"/>
        <w:keepNext w:val="0"/>
        <w:keepLines w:val="0"/>
        <w:pageBreakBefore w:val="0"/>
        <w:wordWrap/>
        <w:topLinePunct w:val="0"/>
        <w:autoSpaceDE/>
        <w:bidi w:val="0"/>
        <w:spacing w:before="0" w:after="0"/>
        <w:ind w:firstLine="64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表十五：2021年孟州市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市本级</w:t>
      </w: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国有资本经营转移性收支情况表</w:t>
      </w:r>
    </w:p>
    <w:p>
      <w:pPr>
        <w:keepNext w:val="0"/>
        <w:keepLines w:val="0"/>
        <w:pageBreakBefore w:val="0"/>
        <w:widowControl/>
        <w:wordWrap/>
        <w:topLinePunct w:val="0"/>
        <w:autoSpaceDE/>
        <w:autoSpaceDN w:val="0"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/>
          <w:b w:val="0"/>
          <w:bCs w:val="0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color w:val="000000"/>
          <w:kern w:val="0"/>
          <w:sz w:val="32"/>
          <w:szCs w:val="32"/>
          <w:lang w:val="en-US" w:eastAsia="zh-CN"/>
        </w:rPr>
        <w:t>表十六：2021年孟州市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市本级</w:t>
      </w:r>
      <w:r>
        <w:rPr>
          <w:rFonts w:hint="eastAsia" w:ascii="仿宋" w:hAnsi="仿宋" w:eastAsia="仿宋"/>
          <w:b w:val="0"/>
          <w:bCs w:val="0"/>
          <w:color w:val="000000"/>
          <w:kern w:val="0"/>
          <w:sz w:val="32"/>
          <w:szCs w:val="32"/>
          <w:lang w:val="en-US" w:eastAsia="zh-CN"/>
        </w:rPr>
        <w:t>“三公”经费安排情况表</w:t>
      </w:r>
    </w:p>
    <w:p>
      <w:pPr>
        <w:keepNext w:val="0"/>
        <w:keepLines w:val="0"/>
        <w:pageBreakBefore w:val="0"/>
        <w:wordWrap/>
        <w:topLinePunct w:val="0"/>
        <w:autoSpaceDE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宋体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表十七：2021年孟州市市本级一般债务限额和余额情况表</w:t>
      </w:r>
    </w:p>
    <w:p>
      <w:pPr>
        <w:keepNext w:val="0"/>
        <w:keepLines w:val="0"/>
        <w:pageBreakBefore w:val="0"/>
        <w:kinsoku w:val="0"/>
        <w:wordWrap/>
        <w:overflowPunct w:val="0"/>
        <w:topLinePunct w:val="0"/>
        <w:autoSpaceDE/>
        <w:bidi w:val="0"/>
        <w:adjustRightInd w:val="0"/>
        <w:snapToGrid w:val="0"/>
        <w:spacing w:line="600" w:lineRule="exact"/>
        <w:ind w:right="521" w:firstLine="640" w:firstLineChars="200"/>
        <w:jc w:val="both"/>
        <w:textAlignment w:val="auto"/>
        <w:outlineLvl w:val="9"/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表十八: 2021年孟州市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市本级</w:t>
      </w: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专项债务限额和余额情况表</w:t>
      </w:r>
    </w:p>
    <w:p>
      <w:pPr>
        <w:shd w:val="solid" w:color="FFFFFF" w:fill="auto"/>
        <w:autoSpaceDN w:val="0"/>
        <w:spacing w:line="330" w:lineRule="atLeast"/>
        <w:rPr>
          <w:rFonts w:hint="eastAsia" w:ascii="仿宋" w:hAnsi="仿宋" w:eastAsia="仿宋"/>
          <w:color w:val="FF0000"/>
          <w:sz w:val="32"/>
          <w:szCs w:val="32"/>
        </w:rPr>
      </w:pPr>
    </w:p>
    <w:p>
      <w:pPr>
        <w:pStyle w:val="2"/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eastAsia="zh-CN"/>
        </w:rPr>
      </w:pPr>
    </w:p>
    <w:p>
      <w:pPr>
        <w:pStyle w:val="2"/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eastAsia="zh-CN"/>
        </w:rPr>
      </w:pPr>
      <w:bookmarkStart w:id="0" w:name="_GoBack"/>
      <w:bookmarkEnd w:id="0"/>
    </w:p>
    <w:p>
      <w:pPr>
        <w:pStyle w:val="2"/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eastAsia="zh-CN"/>
        </w:rPr>
      </w:pPr>
    </w:p>
    <w:p>
      <w:pPr>
        <w:pStyle w:val="2"/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eastAsia="zh-CN"/>
        </w:rPr>
      </w:pPr>
    </w:p>
    <w:p>
      <w:pPr>
        <w:pStyle w:val="2"/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eastAsia="zh-CN"/>
        </w:rPr>
      </w:pPr>
    </w:p>
    <w:p>
      <w:pPr>
        <w:pStyle w:val="2"/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eastAsia="zh-CN"/>
        </w:rPr>
      </w:pPr>
    </w:p>
    <w:p>
      <w:pPr>
        <w:pStyle w:val="2"/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eastAsia="zh-CN"/>
        </w:rPr>
      </w:pPr>
    </w:p>
    <w:p>
      <w:pPr>
        <w:pStyle w:val="2"/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eastAsia="zh-CN"/>
        </w:rPr>
      </w:pPr>
    </w:p>
    <w:p>
      <w:pPr>
        <w:pStyle w:val="2"/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</w:pPr>
    </w:p>
    <w:sectPr>
      <w:pgSz w:w="11906" w:h="16838"/>
      <w:pgMar w:top="1440" w:right="144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Gothic">
    <w:panose1 w:val="020B0609070205080204"/>
    <w:charset w:val="80"/>
    <w:family w:val="decorative"/>
    <w:pitch w:val="default"/>
    <w:sig w:usb0="E00002FF" w:usb1="6AC7FDFB" w:usb2="00000012" w:usb3="00000000" w:csb0="4002009F" w:csb1="DFD70000"/>
  </w:font>
  <w:font w:name="楷体_GB2312">
    <w:altName w:val="楷体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方正粗黑宋简体">
    <w:altName w:val="宋体"/>
    <w:panose1 w:val="02000000000000000000"/>
    <w:charset w:val="86"/>
    <w:family w:val="auto"/>
    <w:pitch w:val="default"/>
    <w:sig w:usb0="00000000" w:usb1="00000000" w:usb2="00000012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CF1AA8"/>
    <w:multiLevelType w:val="singleLevel"/>
    <w:tmpl w:val="5ECF1AA8"/>
    <w:lvl w:ilvl="0" w:tentative="0">
      <w:start w:val="1"/>
      <w:numFmt w:val="chineseCounting"/>
      <w:suff w:val="space"/>
      <w:lvlText w:val="第%1章"/>
      <w:lvlJc w:val="left"/>
    </w:lvl>
  </w:abstractNum>
  <w:abstractNum w:abstractNumId="1">
    <w:nsid w:val="5ED5A545"/>
    <w:multiLevelType w:val="singleLevel"/>
    <w:tmpl w:val="5ED5A545"/>
    <w:lvl w:ilvl="0" w:tentative="0">
      <w:start w:val="3"/>
      <w:numFmt w:val="decimal"/>
      <w:suff w:val="nothing"/>
      <w:lvlText w:val="%1、"/>
      <w:lvlJc w:val="left"/>
    </w:lvl>
  </w:abstractNum>
  <w:abstractNum w:abstractNumId="2">
    <w:nsid w:val="6061499D"/>
    <w:multiLevelType w:val="singleLevel"/>
    <w:tmpl w:val="6061499D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60615EB4"/>
    <w:multiLevelType w:val="singleLevel"/>
    <w:tmpl w:val="60615EB4"/>
    <w:lvl w:ilvl="0" w:tentative="0">
      <w:start w:val="5"/>
      <w:numFmt w:val="chineseCounting"/>
      <w:suff w:val="space"/>
      <w:lvlText w:val="第%1章"/>
      <w:lvlJc w:val="left"/>
    </w:lvl>
  </w:abstractNum>
  <w:abstractNum w:abstractNumId="4">
    <w:nsid w:val="6062D175"/>
    <w:multiLevelType w:val="singleLevel"/>
    <w:tmpl w:val="6062D175"/>
    <w:lvl w:ilvl="0" w:tentative="0">
      <w:start w:val="4"/>
      <w:numFmt w:val="chineseCounting"/>
      <w:suff w:val="space"/>
      <w:lvlText w:val="第%1章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C43173"/>
    <w:rsid w:val="03245CC9"/>
    <w:rsid w:val="099A47BF"/>
    <w:rsid w:val="09DE0604"/>
    <w:rsid w:val="0A2A16A3"/>
    <w:rsid w:val="0AF40469"/>
    <w:rsid w:val="0DCF7188"/>
    <w:rsid w:val="0E206200"/>
    <w:rsid w:val="0F622D2A"/>
    <w:rsid w:val="0F9336A6"/>
    <w:rsid w:val="124F7DA7"/>
    <w:rsid w:val="14D4448D"/>
    <w:rsid w:val="14F405E4"/>
    <w:rsid w:val="1620152F"/>
    <w:rsid w:val="17710B05"/>
    <w:rsid w:val="18E53215"/>
    <w:rsid w:val="1A3A5F3C"/>
    <w:rsid w:val="1A3D74C1"/>
    <w:rsid w:val="1A954EA6"/>
    <w:rsid w:val="1BF7377F"/>
    <w:rsid w:val="1CA93B54"/>
    <w:rsid w:val="1D19328F"/>
    <w:rsid w:val="1EA3393E"/>
    <w:rsid w:val="1EDD385F"/>
    <w:rsid w:val="1FDD7CEF"/>
    <w:rsid w:val="20256A90"/>
    <w:rsid w:val="20C34870"/>
    <w:rsid w:val="215E4AE2"/>
    <w:rsid w:val="216C778F"/>
    <w:rsid w:val="24A3273B"/>
    <w:rsid w:val="24A678B8"/>
    <w:rsid w:val="25764191"/>
    <w:rsid w:val="2726581F"/>
    <w:rsid w:val="27D20C09"/>
    <w:rsid w:val="27FA12DE"/>
    <w:rsid w:val="28AD70E4"/>
    <w:rsid w:val="294803FE"/>
    <w:rsid w:val="2AE92A88"/>
    <w:rsid w:val="2B8539BD"/>
    <w:rsid w:val="2B907346"/>
    <w:rsid w:val="2C4331E6"/>
    <w:rsid w:val="2D26469B"/>
    <w:rsid w:val="2DC57BC6"/>
    <w:rsid w:val="2EFA2DE8"/>
    <w:rsid w:val="30B21CEC"/>
    <w:rsid w:val="31DE5565"/>
    <w:rsid w:val="334D4569"/>
    <w:rsid w:val="33555904"/>
    <w:rsid w:val="35733E82"/>
    <w:rsid w:val="36C43173"/>
    <w:rsid w:val="37A852B1"/>
    <w:rsid w:val="39B14056"/>
    <w:rsid w:val="3A032C4B"/>
    <w:rsid w:val="3BAB6A3B"/>
    <w:rsid w:val="3CEA0150"/>
    <w:rsid w:val="3E5B4BF4"/>
    <w:rsid w:val="3EBB6A19"/>
    <w:rsid w:val="416E75DC"/>
    <w:rsid w:val="41AC1C80"/>
    <w:rsid w:val="46FD78E0"/>
    <w:rsid w:val="47C2595A"/>
    <w:rsid w:val="48A25503"/>
    <w:rsid w:val="4C0B2484"/>
    <w:rsid w:val="4E0648D2"/>
    <w:rsid w:val="4E8F495B"/>
    <w:rsid w:val="4EDC1E3B"/>
    <w:rsid w:val="501739F6"/>
    <w:rsid w:val="50F90C6F"/>
    <w:rsid w:val="51404248"/>
    <w:rsid w:val="5362780A"/>
    <w:rsid w:val="53B17AD8"/>
    <w:rsid w:val="54D26144"/>
    <w:rsid w:val="58E660B7"/>
    <w:rsid w:val="59293748"/>
    <w:rsid w:val="5BEB7851"/>
    <w:rsid w:val="5BED235E"/>
    <w:rsid w:val="5C8239C9"/>
    <w:rsid w:val="5E2C5EEC"/>
    <w:rsid w:val="61431229"/>
    <w:rsid w:val="61D63DD9"/>
    <w:rsid w:val="641E0553"/>
    <w:rsid w:val="653A6C3E"/>
    <w:rsid w:val="65CF63A9"/>
    <w:rsid w:val="67D0487F"/>
    <w:rsid w:val="684D6B79"/>
    <w:rsid w:val="69C43A35"/>
    <w:rsid w:val="6B2E6E5E"/>
    <w:rsid w:val="6DA63B47"/>
    <w:rsid w:val="6DCA6C71"/>
    <w:rsid w:val="71C202F6"/>
    <w:rsid w:val="728745C7"/>
    <w:rsid w:val="74172F92"/>
    <w:rsid w:val="744352BB"/>
    <w:rsid w:val="75723D10"/>
    <w:rsid w:val="771B1325"/>
    <w:rsid w:val="772824F9"/>
    <w:rsid w:val="775951B3"/>
    <w:rsid w:val="7A0623A8"/>
    <w:rsid w:val="7C066472"/>
    <w:rsid w:val="7C5C2B99"/>
    <w:rsid w:val="7D8D113E"/>
    <w:rsid w:val="7F3752D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 w:firstLine="420" w:firstLineChars="200"/>
      <w:jc w:val="both"/>
    </w:pPr>
    <w:rPr>
      <w:rFonts w:hint="default" w:ascii="Times New Roman" w:hAnsi="Times New Roman" w:eastAsia="仿宋_GB2312" w:cs="Times New Roman"/>
      <w:kern w:val="2"/>
      <w:sz w:val="32"/>
      <w:szCs w:val="32"/>
      <w:lang w:val="en-US" w:eastAsia="zh-CN" w:bidi="ar"/>
    </w:rPr>
  </w:style>
  <w:style w:type="paragraph" w:styleId="3">
    <w:name w:val="Normal (Web)"/>
    <w:basedOn w:val="1"/>
    <w:qFormat/>
    <w:uiPriority w:val="0"/>
    <w:pPr>
      <w:spacing w:before="100" w:beforeLines="0" w:beforeAutospacing="1" w:after="100" w:afterLines="0" w:afterAutospacing="1"/>
      <w:ind w:left="0" w:right="0"/>
      <w:jc w:val="left"/>
    </w:pPr>
    <w:rPr>
      <w:kern w:val="0"/>
      <w:sz w:val="24"/>
      <w:lang w:val="en-US" w:eastAsia="zh-CN" w:bidi="ar-SA"/>
    </w:rPr>
  </w:style>
  <w:style w:type="paragraph" w:customStyle="1" w:styleId="6">
    <w:name w:val="1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User</Company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2018-10-14T13:02:00Z</dcterms:created>
  <dc:creator>User</dc:creator>
  <cp:lastModifiedBy>Administrator</cp:lastModifiedBy>
  <cp:lastPrinted>2020-06-01T07:11:00Z</cp:lastPrinted>
  <dcterms:modified xsi:type="dcterms:W3CDTF">2021-03-30T08:08:56Z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